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版本号：HJL-ZB-GC202502120251020001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西安市鄠邑区政务服务中心(市民之家)三楼屋面除险加固项目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HJL-ZB-GC2025021</w:t>
      </w:r>
      <w:r>
        <w:br/>
      </w:r>
      <w:r>
        <w:br/>
      </w:r>
      <w:r>
        <w:br/>
      </w:r>
    </w:p>
    <w:p>
      <w:pPr>
        <w:pStyle w:val="null3"/>
        <w:jc w:val="center"/>
        <w:outlineLvl w:val="2"/>
      </w:pPr>
      <w:r>
        <w:rPr>
          <w:rFonts w:ascii="仿宋_GB2312" w:hAnsi="仿宋_GB2312" w:cs="仿宋_GB2312" w:eastAsia="仿宋_GB2312"/>
          <w:sz w:val="28"/>
          <w:b/>
        </w:rPr>
        <w:t>西安市鄠邑区数据和行政审批服务局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西安市鄠邑区数据和行政审批服务局</w:t>
      </w:r>
      <w:r>
        <w:rPr>
          <w:rFonts w:ascii="仿宋_GB2312" w:hAnsi="仿宋_GB2312" w:cs="仿宋_GB2312" w:eastAsia="仿宋_GB2312"/>
        </w:rPr>
        <w:t>委托，拟对</w:t>
      </w:r>
      <w:r>
        <w:rPr>
          <w:rFonts w:ascii="仿宋_GB2312" w:hAnsi="仿宋_GB2312" w:cs="仿宋_GB2312" w:eastAsia="仿宋_GB2312"/>
        </w:rPr>
        <w:t>西安市鄠邑区政务服务中心(市民之家)三楼屋面除险加固项目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HJL-ZB-GC2025021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西安市鄠邑区政务服务中心(市民之家)三楼屋面除险加固项目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对区政务服务中心三楼屋面覆盖的素混凝土、沙加卵石、石板、地砖、木板、绿化等进行清理，并拆除加建区域10间办公用房，恢复上人屋面，对屋面防水进行恢复，对外墙装饰层破损部位进行修复 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采购包1（西安市鄠邑区政务服务中心(市民之家)三楼屋面除险加固项目）：属于专门面向中小企业采购。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 ：投标供应商须具备行业主管部门颁发的建筑工程施工总承包三级及以上资质并具有有效的安全生产许可证；</w:t>
      </w:r>
    </w:p>
    <w:p>
      <w:pPr>
        <w:pStyle w:val="null3"/>
      </w:pPr>
      <w:r>
        <w:rPr>
          <w:rFonts w:ascii="仿宋_GB2312" w:hAnsi="仿宋_GB2312" w:cs="仿宋_GB2312" w:eastAsia="仿宋_GB2312"/>
        </w:rPr>
        <w:t>2、拟派项目负责人资质和专业要求 ：投标供应商拟派项目经理须具备行业主管部门颁发的建筑工程专业二级及以上建造师资质及有效的安全生产考核合格证书（建安B证），在本单位注册且无在建工程（提供承诺）；</w:t>
      </w:r>
    </w:p>
    <w:p>
      <w:pPr>
        <w:pStyle w:val="null3"/>
      </w:pPr>
      <w:r>
        <w:rPr>
          <w:rFonts w:ascii="仿宋_GB2312" w:hAnsi="仿宋_GB2312" w:cs="仿宋_GB2312" w:eastAsia="仿宋_GB2312"/>
        </w:rPr>
        <w:t>3、投标供应商基本信息及项目经理基本信息：投标供应商基本信息及项目经理基本信息应在“陕西建设网（http://js.shaanxi.gov.cn/ ）或陕西省建筑市场监管与诚信信息发布平台”可查询；</w:t>
      </w:r>
    </w:p>
    <w:p>
      <w:pPr>
        <w:pStyle w:val="null3"/>
      </w:pPr>
      <w:r>
        <w:rPr>
          <w:rFonts w:ascii="仿宋_GB2312" w:hAnsi="仿宋_GB2312" w:cs="仿宋_GB2312" w:eastAsia="仿宋_GB2312"/>
        </w:rPr>
        <w:t>4、承诺书 ：投标供应商不得在各级诚信信息平台被列为投标受限制的行为人（提供承诺）；</w:t>
      </w:r>
    </w:p>
    <w:p>
      <w:pPr>
        <w:pStyle w:val="null3"/>
      </w:pPr>
      <w:r>
        <w:rPr>
          <w:rFonts w:ascii="仿宋_GB2312" w:hAnsi="仿宋_GB2312" w:cs="仿宋_GB2312" w:eastAsia="仿宋_GB2312"/>
        </w:rPr>
        <w:t>5、法定代表人授权书 ：法定代表人授权书（法定代表人直接参加投标，须提供法定代表人身份证明）；</w:t>
      </w:r>
    </w:p>
    <w:p>
      <w:pPr>
        <w:pStyle w:val="null3"/>
      </w:pPr>
      <w:r>
        <w:rPr>
          <w:rFonts w:ascii="仿宋_GB2312" w:hAnsi="仿宋_GB2312" w:cs="仿宋_GB2312" w:eastAsia="仿宋_GB2312"/>
        </w:rPr>
        <w:t>6、中小企业声明函 ：本项目专门面向中小企业采购，仅限符合《政府采购促进中小企业发展管理办法》的通知(财库〔 2020〕46 号) 条件的中小企业参与，并提供中小企业声明函，残疾人福利企业、监狱企业视同中小企业；</w:t>
      </w:r>
    </w:p>
    <w:p>
      <w:pPr>
        <w:pStyle w:val="null3"/>
      </w:pPr>
      <w:r>
        <w:rPr>
          <w:rFonts w:ascii="仿宋_GB2312" w:hAnsi="仿宋_GB2312" w:cs="仿宋_GB2312" w:eastAsia="仿宋_GB2312"/>
        </w:rPr>
        <w:t>7、信用信息 ：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西安市鄠邑区数据和行政审批服务局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吕公路东段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段金金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029-84880012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西安市碑林区南二环东段长安大街3号A座写字楼2907室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雷小红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029-89029628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西安市鄠邑区数据和行政审批服务局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西安市鄠邑区数据和行政审批服务局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西安市鄠邑区数据和行政审批服务局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联系人：雷小红</w:t>
      </w:r>
    </w:p>
    <w:p>
      <w:pPr>
        <w:pStyle w:val="null3"/>
      </w:pPr>
      <w:r>
        <w:rPr>
          <w:rFonts w:ascii="仿宋_GB2312" w:hAnsi="仿宋_GB2312" w:cs="仿宋_GB2312" w:eastAsia="仿宋_GB2312"/>
        </w:rPr>
        <w:t>联系电话：029-89029628</w:t>
      </w:r>
    </w:p>
    <w:p>
      <w:pPr>
        <w:pStyle w:val="null3"/>
      </w:pPr>
      <w:r>
        <w:rPr>
          <w:rFonts w:ascii="仿宋_GB2312" w:hAnsi="仿宋_GB2312" w:cs="仿宋_GB2312" w:eastAsia="仿宋_GB2312"/>
        </w:rPr>
        <w:t>地址：西安市碑林区南二环东段长安大街3号A座写字楼2907室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988,000.00</w:t>
      </w:r>
    </w:p>
    <w:p>
      <w:pPr>
        <w:pStyle w:val="null3"/>
      </w:pPr>
      <w:r>
        <w:rPr>
          <w:rFonts w:ascii="仿宋_GB2312" w:hAnsi="仿宋_GB2312" w:cs="仿宋_GB2312" w:eastAsia="仿宋_GB2312"/>
        </w:rPr>
        <w:t>采购包最高限价（元）: 869,447.25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屋面加固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标的名称：屋面加固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105"/>
            </w:pPr>
            <w:r>
              <w:rPr>
                <w:rFonts w:ascii="仿宋_GB2312" w:hAnsi="仿宋_GB2312" w:cs="仿宋_GB2312" w:eastAsia="仿宋_GB2312"/>
                <w:sz w:val="24"/>
                <w:color w:val="000000"/>
              </w:rPr>
              <w:t>一、计划工期</w:t>
            </w:r>
          </w:p>
          <w:p>
            <w:pPr>
              <w:pStyle w:val="null3"/>
              <w:spacing w:before="150"/>
              <w:ind w:left="495"/>
            </w:pPr>
            <w:r>
              <w:rPr>
                <w:rFonts w:ascii="仿宋_GB2312" w:hAnsi="仿宋_GB2312" w:cs="仿宋_GB2312" w:eastAsia="仿宋_GB2312"/>
                <w:sz w:val="24"/>
                <w:color w:val="000000"/>
                <w:u w:val="single"/>
              </w:rPr>
              <w:t>60</w:t>
            </w:r>
            <w:r>
              <w:rPr>
                <w:rFonts w:ascii="仿宋_GB2312" w:hAnsi="仿宋_GB2312" w:cs="仿宋_GB2312" w:eastAsia="仿宋_GB2312"/>
              </w:rPr>
              <w:t xml:space="preserve"> </w:t>
            </w:r>
            <w:r>
              <w:rPr>
                <w:rFonts w:ascii="仿宋_GB2312" w:hAnsi="仿宋_GB2312" w:cs="仿宋_GB2312" w:eastAsia="仿宋_GB2312"/>
                <w:sz w:val="24"/>
                <w:color w:val="000000"/>
              </w:rPr>
              <w:t>日历天。</w:t>
            </w:r>
          </w:p>
          <w:p>
            <w:pPr>
              <w:pStyle w:val="null3"/>
              <w:spacing w:before="120"/>
              <w:ind w:left="105"/>
            </w:pPr>
            <w:r>
              <w:rPr>
                <w:rFonts w:ascii="仿宋_GB2312" w:hAnsi="仿宋_GB2312" w:cs="仿宋_GB2312" w:eastAsia="仿宋_GB2312"/>
                <w:sz w:val="24"/>
                <w:color w:val="000000"/>
              </w:rPr>
              <w:t>二、质保期：</w:t>
            </w:r>
          </w:p>
          <w:p>
            <w:pPr>
              <w:pStyle w:val="null3"/>
              <w:spacing w:before="150"/>
              <w:ind w:left="495"/>
            </w:pPr>
            <w:r>
              <w:rPr>
                <w:rFonts w:ascii="仿宋_GB2312" w:hAnsi="仿宋_GB2312" w:cs="仿宋_GB2312" w:eastAsia="仿宋_GB2312"/>
                <w:sz w:val="24"/>
                <w:color w:val="000000"/>
              </w:rPr>
              <w:t>1.地基基础工程和主体结构工程为设计文件规定的工程合理使用年限:</w:t>
            </w:r>
          </w:p>
          <w:p>
            <w:pPr>
              <w:pStyle w:val="null3"/>
              <w:spacing w:before="120"/>
              <w:ind w:left="495"/>
            </w:pPr>
            <w:r>
              <w:rPr>
                <w:rFonts w:ascii="仿宋_GB2312" w:hAnsi="仿宋_GB2312" w:cs="仿宋_GB2312" w:eastAsia="仿宋_GB2312"/>
                <w:sz w:val="24"/>
                <w:color w:val="000000"/>
              </w:rPr>
              <w:t>2.屋面防水工程、有防水要求的卫生间、房间和外墙面的防渗为</w:t>
            </w:r>
            <w:r>
              <w:rPr>
                <w:rFonts w:ascii="仿宋_GB2312" w:hAnsi="仿宋_GB2312" w:cs="仿宋_GB2312" w:eastAsia="仿宋_GB2312"/>
              </w:rPr>
              <w:t xml:space="preserve"> </w:t>
            </w:r>
            <w:r>
              <w:rPr>
                <w:rFonts w:ascii="仿宋_GB2312" w:hAnsi="仿宋_GB2312" w:cs="仿宋_GB2312" w:eastAsia="仿宋_GB2312"/>
                <w:sz w:val="24"/>
                <w:color w:val="000000"/>
              </w:rPr>
              <w:t>5 年</w:t>
            </w:r>
          </w:p>
          <w:p>
            <w:pPr>
              <w:pStyle w:val="null3"/>
              <w:spacing w:before="120"/>
              <w:ind w:left="495"/>
            </w:pPr>
            <w:r>
              <w:rPr>
                <w:rFonts w:ascii="仿宋_GB2312" w:hAnsi="仿宋_GB2312" w:cs="仿宋_GB2312" w:eastAsia="仿宋_GB2312"/>
                <w:sz w:val="24"/>
                <w:color w:val="000000"/>
              </w:rPr>
              <w:t>3.装修工程为_2 年;</w:t>
            </w:r>
          </w:p>
          <w:p>
            <w:pPr>
              <w:pStyle w:val="null3"/>
              <w:spacing w:before="120"/>
              <w:ind w:left="49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电气管线、给排水管道、设备安装工程为</w:t>
            </w:r>
            <w:r>
              <w:rPr>
                <w:rFonts w:ascii="仿宋_GB2312" w:hAnsi="仿宋_GB2312" w:cs="仿宋_GB2312" w:eastAsia="仿宋_GB2312"/>
              </w:rPr>
              <w:t xml:space="preserve"> </w:t>
            </w:r>
            <w:r>
              <w:rPr>
                <w:rFonts w:ascii="仿宋_GB2312" w:hAnsi="仿宋_GB2312" w:cs="仿宋_GB2312" w:eastAsia="仿宋_GB2312"/>
                <w:sz w:val="24"/>
                <w:color w:val="000000"/>
              </w:rPr>
              <w:t>2 年;</w:t>
            </w:r>
          </w:p>
          <w:p>
            <w:pPr>
              <w:pStyle w:val="null3"/>
              <w:spacing w:before="135"/>
              <w:ind w:left="495"/>
            </w:pPr>
            <w:r>
              <w:rPr>
                <w:rFonts w:ascii="仿宋_GB2312" w:hAnsi="仿宋_GB2312" w:cs="仿宋_GB2312" w:eastAsia="仿宋_GB2312"/>
                <w:sz w:val="24"/>
                <w:color w:val="000000"/>
              </w:rPr>
              <w:t>5.供热与供冷系统为</w:t>
            </w:r>
            <w:r>
              <w:rPr>
                <w:rFonts w:ascii="仿宋_GB2312" w:hAnsi="仿宋_GB2312" w:cs="仿宋_GB2312" w:eastAsia="仿宋_GB2312"/>
              </w:rPr>
              <w:t xml:space="preserve"> </w:t>
            </w:r>
            <w:r>
              <w:rPr>
                <w:rFonts w:ascii="仿宋_GB2312" w:hAnsi="仿宋_GB2312" w:cs="仿宋_GB2312" w:eastAsia="仿宋_GB2312"/>
                <w:sz w:val="24"/>
                <w:color w:val="000000"/>
              </w:rPr>
              <w:t>两</w:t>
            </w:r>
            <w:r>
              <w:rPr>
                <w:rFonts w:ascii="仿宋_GB2312" w:hAnsi="仿宋_GB2312" w:cs="仿宋_GB2312" w:eastAsia="仿宋_GB2312"/>
              </w:rPr>
              <w:t xml:space="preserve"> </w:t>
            </w:r>
            <w:r>
              <w:rPr>
                <w:rFonts w:ascii="仿宋_GB2312" w:hAnsi="仿宋_GB2312" w:cs="仿宋_GB2312" w:eastAsia="仿宋_GB2312"/>
                <w:sz w:val="24"/>
                <w:color w:val="000000"/>
              </w:rPr>
              <w:t>个采暖期、供冷期</w:t>
            </w:r>
            <w:r>
              <w:rPr>
                <w:rFonts w:ascii="仿宋_GB2312" w:hAnsi="仿宋_GB2312" w:cs="仿宋_GB2312" w:eastAsia="仿宋_GB2312"/>
                <w:sz w:val="24"/>
                <w:color w:val="000000"/>
              </w:rPr>
              <w:t>;</w:t>
            </w:r>
          </w:p>
          <w:p>
            <w:pPr>
              <w:pStyle w:val="null3"/>
              <w:spacing w:before="135"/>
              <w:ind w:left="495"/>
            </w:pPr>
            <w:r>
              <w:rPr>
                <w:rFonts w:ascii="仿宋_GB2312" w:hAnsi="仿宋_GB2312" w:cs="仿宋_GB2312" w:eastAsia="仿宋_GB2312"/>
                <w:sz w:val="24"/>
                <w:color w:val="000000"/>
              </w:rPr>
              <w:t>6.住宅小区内的给排水设施、道路等配套工程为2年:</w:t>
            </w:r>
          </w:p>
          <w:p>
            <w:pPr>
              <w:pStyle w:val="null3"/>
              <w:spacing w:before="135"/>
              <w:ind w:left="105" w:right="165" w:firstLine="391"/>
            </w:pPr>
            <w:r>
              <w:rPr>
                <w:rFonts w:ascii="仿宋_GB2312" w:hAnsi="仿宋_GB2312" w:cs="仿宋_GB2312" w:eastAsia="仿宋_GB2312"/>
                <w:sz w:val="24"/>
                <w:color w:val="000000"/>
              </w:rPr>
              <w:t>7.其他项目保修期限约定如下:设备、材料等原制造厂商承诺的</w:t>
            </w:r>
            <w:r>
              <w:rPr>
                <w:rFonts w:ascii="仿宋_GB2312" w:hAnsi="仿宋_GB2312" w:cs="仿宋_GB2312" w:eastAsia="仿宋_GB2312"/>
                <w:sz w:val="24"/>
                <w:color w:val="000000"/>
              </w:rPr>
              <w:t>质保期多于</w:t>
            </w:r>
            <w:r>
              <w:rPr>
                <w:rFonts w:ascii="仿宋_GB2312" w:hAnsi="仿宋_GB2312" w:cs="仿宋_GB2312" w:eastAsia="仿宋_GB2312"/>
                <w:sz w:val="24"/>
                <w:color w:val="000000"/>
              </w:rPr>
              <w:t>2年的从其约定，但原</w:t>
            </w:r>
            <w:r>
              <w:rPr>
                <w:rFonts w:ascii="仿宋_GB2312" w:hAnsi="仿宋_GB2312" w:cs="仿宋_GB2312" w:eastAsia="仿宋_GB2312"/>
                <w:sz w:val="24"/>
                <w:color w:val="000000"/>
              </w:rPr>
              <w:t>制造厂商承诺的质保期少于</w:t>
            </w:r>
            <w:r>
              <w:rPr>
                <w:rFonts w:ascii="仿宋_GB2312" w:hAnsi="仿宋_GB2312" w:cs="仿宋_GB2312" w:eastAsia="仿宋_GB2312"/>
                <w:sz w:val="24"/>
                <w:color w:val="000000"/>
              </w:rPr>
              <w:t>2年的，承包人</w:t>
            </w:r>
            <w:r>
              <w:rPr>
                <w:rFonts w:ascii="仿宋_GB2312" w:hAnsi="仿宋_GB2312" w:cs="仿宋_GB2312" w:eastAsia="仿宋_GB2312"/>
                <w:sz w:val="24"/>
                <w:color w:val="000000"/>
              </w:rPr>
              <w:t>须保证质保期不少于</w:t>
            </w:r>
            <w:r>
              <w:rPr>
                <w:rFonts w:ascii="仿宋_GB2312" w:hAnsi="仿宋_GB2312" w:cs="仿宋_GB2312" w:eastAsia="仿宋_GB2312"/>
                <w:sz w:val="24"/>
                <w:color w:val="000000"/>
              </w:rPr>
              <w:t>2年。</w:t>
            </w:r>
          </w:p>
          <w:p>
            <w:pPr>
              <w:pStyle w:val="null3"/>
              <w:spacing w:before="135"/>
              <w:ind w:left="480"/>
            </w:pPr>
            <w:r>
              <w:rPr>
                <w:rFonts w:ascii="仿宋_GB2312" w:hAnsi="仿宋_GB2312" w:cs="仿宋_GB2312" w:eastAsia="仿宋_GB2312"/>
                <w:sz w:val="24"/>
                <w:color w:val="000000"/>
              </w:rPr>
              <w:t>质量保修期自工程竣工验收合格之日起计算。</w:t>
            </w:r>
          </w:p>
          <w:p>
            <w:pPr>
              <w:pStyle w:val="null3"/>
              <w:spacing w:before="150"/>
              <w:ind w:left="90"/>
            </w:pPr>
            <w:r>
              <w:rPr>
                <w:rFonts w:ascii="仿宋_GB2312" w:hAnsi="仿宋_GB2312" w:cs="仿宋_GB2312" w:eastAsia="仿宋_GB2312"/>
                <w:sz w:val="24"/>
                <w:color w:val="000000"/>
              </w:rPr>
              <w:t>三、缺陷责任期：</w:t>
            </w:r>
          </w:p>
          <w:p>
            <w:pPr>
              <w:pStyle w:val="null3"/>
              <w:spacing w:before="150"/>
              <w:ind w:left="510"/>
            </w:pPr>
            <w:r>
              <w:rPr>
                <w:rFonts w:ascii="仿宋_GB2312" w:hAnsi="仿宋_GB2312" w:cs="仿宋_GB2312" w:eastAsia="仿宋_GB2312"/>
                <w:sz w:val="24"/>
                <w:color w:val="000000"/>
              </w:rPr>
              <w:t>自竣工验收之日起</w:t>
            </w:r>
            <w:r>
              <w:rPr>
                <w:rFonts w:ascii="仿宋_GB2312" w:hAnsi="仿宋_GB2312" w:cs="仿宋_GB2312" w:eastAsia="仿宋_GB2312"/>
                <w:u w:val="single"/>
              </w:rPr>
              <w:t xml:space="preserve"> </w:t>
            </w:r>
            <w:r>
              <w:rPr>
                <w:rFonts w:ascii="仿宋_GB2312" w:hAnsi="仿宋_GB2312" w:cs="仿宋_GB2312" w:eastAsia="仿宋_GB2312"/>
                <w:sz w:val="24"/>
                <w:color w:val="000000"/>
                <w:u w:val="single"/>
              </w:rPr>
              <w:t xml:space="preserve">1 </w:t>
            </w:r>
            <w:r>
              <w:rPr>
                <w:rFonts w:ascii="仿宋_GB2312" w:hAnsi="仿宋_GB2312" w:cs="仿宋_GB2312" w:eastAsia="仿宋_GB2312"/>
                <w:sz w:val="24"/>
                <w:color w:val="000000"/>
              </w:rPr>
              <w:t>年。</w:t>
            </w:r>
          </w:p>
          <w:p>
            <w:pPr>
              <w:pStyle w:val="null3"/>
              <w:spacing w:before="135"/>
              <w:ind w:left="120"/>
            </w:pPr>
            <w:r>
              <w:rPr>
                <w:rFonts w:ascii="仿宋_GB2312" w:hAnsi="仿宋_GB2312" w:cs="仿宋_GB2312" w:eastAsia="仿宋_GB2312"/>
                <w:sz w:val="24"/>
                <w:color w:val="000000"/>
              </w:rPr>
              <w:t>四、付款条件及比例：</w:t>
            </w:r>
          </w:p>
          <w:p>
            <w:pPr>
              <w:pStyle w:val="null3"/>
              <w:spacing w:before="150"/>
              <w:ind w:left="495"/>
            </w:pPr>
            <w:r>
              <w:rPr>
                <w:rFonts w:ascii="仿宋_GB2312" w:hAnsi="仿宋_GB2312" w:cs="仿宋_GB2312" w:eastAsia="仿宋_GB2312"/>
                <w:sz w:val="24"/>
                <w:color w:val="000000"/>
              </w:rPr>
              <w:t>1、合同签订材料进场后，甲方向乙方支付合同价款的40%作为</w:t>
            </w:r>
            <w:r>
              <w:rPr>
                <w:rFonts w:ascii="仿宋_GB2312" w:hAnsi="仿宋_GB2312" w:cs="仿宋_GB2312" w:eastAsia="仿宋_GB2312"/>
                <w:sz w:val="24"/>
                <w:color w:val="000000"/>
              </w:rPr>
              <w:t>预付款。</w:t>
            </w:r>
          </w:p>
          <w:p>
            <w:pPr>
              <w:pStyle w:val="null3"/>
              <w:spacing w:before="135"/>
              <w:ind w:left="495"/>
            </w:pPr>
            <w:r>
              <w:rPr>
                <w:rFonts w:ascii="仿宋_GB2312" w:hAnsi="仿宋_GB2312" w:cs="仿宋_GB2312" w:eastAsia="仿宋_GB2312"/>
                <w:sz w:val="24"/>
                <w:color w:val="000000"/>
              </w:rPr>
              <w:t>2、乙方完成合同工程量70%时，甲方向乙方支付至合同总价款的70%作为工程进度款。</w:t>
            </w:r>
          </w:p>
          <w:p>
            <w:pPr>
              <w:pStyle w:val="null3"/>
              <w:spacing w:before="135"/>
              <w:ind w:left="495"/>
            </w:pPr>
            <w:r>
              <w:rPr>
                <w:rFonts w:ascii="仿宋_GB2312" w:hAnsi="仿宋_GB2312" w:cs="仿宋_GB2312" w:eastAsia="仿宋_GB2312"/>
                <w:sz w:val="24"/>
                <w:color w:val="000000"/>
              </w:rPr>
              <w:t>3、乙方完成全部工程量时，经甲方组织有关部门验收合格后，支付至合同总价款</w:t>
            </w:r>
            <w:r>
              <w:rPr>
                <w:rFonts w:ascii="仿宋_GB2312" w:hAnsi="仿宋_GB2312" w:cs="仿宋_GB2312" w:eastAsia="仿宋_GB2312"/>
                <w:sz w:val="24"/>
                <w:color w:val="000000"/>
              </w:rPr>
              <w:t>的</w:t>
            </w:r>
            <w:r>
              <w:rPr>
                <w:rFonts w:ascii="仿宋_GB2312" w:hAnsi="仿宋_GB2312" w:cs="仿宋_GB2312" w:eastAsia="仿宋_GB2312"/>
                <w:sz w:val="24"/>
                <w:color w:val="000000"/>
              </w:rPr>
              <w:t>90%。</w:t>
            </w:r>
          </w:p>
          <w:p>
            <w:pPr>
              <w:pStyle w:val="null3"/>
              <w:spacing w:before="135"/>
              <w:ind w:left="495"/>
            </w:pPr>
            <w:r>
              <w:rPr>
                <w:rFonts w:ascii="仿宋_GB2312" w:hAnsi="仿宋_GB2312" w:cs="仿宋_GB2312" w:eastAsia="仿宋_GB2312"/>
                <w:sz w:val="24"/>
                <w:color w:val="000000"/>
              </w:rPr>
              <w:t>4、经政府相关审计部门审计完成后，支付至审计结算价款的100%。</w:t>
            </w:r>
          </w:p>
          <w:p>
            <w:pPr>
              <w:pStyle w:val="null3"/>
              <w:spacing w:before="225"/>
              <w:ind w:left="105"/>
            </w:pPr>
            <w:r>
              <w:rPr>
                <w:rFonts w:ascii="仿宋_GB2312" w:hAnsi="仿宋_GB2312" w:cs="仿宋_GB2312" w:eastAsia="仿宋_GB2312"/>
                <w:sz w:val="24"/>
                <w:color w:val="000000"/>
              </w:rPr>
              <w:t>五、其他内容：</w:t>
            </w:r>
          </w:p>
          <w:p>
            <w:pPr>
              <w:pStyle w:val="null3"/>
              <w:jc w:val="left"/>
            </w:pPr>
            <w:r>
              <w:rPr>
                <w:rFonts w:ascii="仿宋_GB2312" w:hAnsi="仿宋_GB2312" w:cs="仿宋_GB2312" w:eastAsia="仿宋_GB2312"/>
                <w:sz w:val="24"/>
                <w:color w:val="000000"/>
              </w:rPr>
              <w:t xml:space="preserve">   详见图纸、工程量清单及编制说明。</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2）“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1、供应商具有独立承担民事责任的能力，提供法人或其他组织的营业执照等证明文件。 2、提供2024年度经审计的财务报告（成立时间至提交磋商响应文件截止时间不足一年的可提供成立后任意时段的资产负债表），或磋商响应文件递交截止时间前6个月内银行出具的资信证明； 3、磋商响应文件递交截止时间前一年内已缴纳的至少一个月的纳税证明或完税证明，依法免税的单位应提供相关证明材料； 4、磋商响应文件递交截止时间前一年内已缴存的至少一个月的社会保障资金缴存单据或社保机构开具的社会保险参保缴费情况证明，依法不需要缴纳社会保障资金的单位应提供相关证明材料；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提供2024年度经审计的财务报告（成立时间至提交磋商响应文件截止时间不足一年的可提供成立后任意时段的资产负债表），或磋商响应文件递交截止时间前6个月内银行出具的资信证明。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投标供应商拟派项目经理须具备行业主管部门颁发的建筑工程专业二级及以上建造师资质及有效的安全生产考核合格证书（建安B证），在本单位注册且无在建工程（提供承诺）；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 ）或陕西省建筑市场监管与诚信信息发布平台”可查询；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 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 商务、技术条款偏离表.docx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投标供应商提供2022年10月1日至今（以合同签订日期为准）类似项目业绩（以合同复印件或扫描件加盖公章为准）每个有效业绩得1分，满分共计5分。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详见附件：商务、技术条款偏离表.docx</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