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版本号：ZCBN-鄠邑区-2025-0040620251112001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鄠邑区第一污水处理厂提标扩容工程竣工结算聘请第三方审核项目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ZCBN-鄠邑区-2025-00406</w:t>
      </w:r>
      <w:r>
        <w:br/>
      </w:r>
      <w:r>
        <w:br/>
      </w:r>
      <w:r>
        <w:br/>
      </w:r>
    </w:p>
    <w:p>
      <w:pPr>
        <w:pStyle w:val="null3"/>
        <w:jc w:val="center"/>
        <w:outlineLvl w:val="2"/>
      </w:pPr>
      <w:r>
        <w:rPr>
          <w:rFonts w:ascii="仿宋_GB2312" w:hAnsi="仿宋_GB2312" w:cs="仿宋_GB2312" w:eastAsia="仿宋_GB2312"/>
          <w:sz w:val="28"/>
          <w:b/>
        </w:rPr>
        <w:t>西安市鄠邑区水务局</w:t>
      </w:r>
    </w:p>
    <w:p>
      <w:pPr>
        <w:pStyle w:val="null3"/>
        <w:jc w:val="center"/>
        <w:outlineLvl w:val="2"/>
      </w:pPr>
      <w:r>
        <w:rPr>
          <w:rFonts w:ascii="仿宋_GB2312" w:hAnsi="仿宋_GB2312" w:cs="仿宋_GB2312" w:eastAsia="仿宋_GB2312"/>
          <w:sz w:val="28"/>
          <w:b/>
        </w:rPr>
        <w:t>知含国际工程咨询有限公司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知含国际工程咨询有限公司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西安市鄠邑区水务局</w:t>
      </w:r>
      <w:r>
        <w:rPr>
          <w:rFonts w:ascii="仿宋_GB2312" w:hAnsi="仿宋_GB2312" w:cs="仿宋_GB2312" w:eastAsia="仿宋_GB2312"/>
        </w:rPr>
        <w:t>委托，拟对</w:t>
      </w:r>
      <w:r>
        <w:rPr>
          <w:rFonts w:ascii="仿宋_GB2312" w:hAnsi="仿宋_GB2312" w:cs="仿宋_GB2312" w:eastAsia="仿宋_GB2312"/>
        </w:rPr>
        <w:t>鄠邑区第一污水处理厂提标扩容工程竣工结算聘请第三方审核项目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ZCBN-鄠邑区-2025-00406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鄠邑区第一污水处理厂提标扩容工程竣工结算聘请第三方审核项目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通过政府采购聘请第三方公司实施鄠邑区第一污水处理厂提标扩容工程结算审核工作，出具结算审核报告；需满足的要求:需满足鄠邑区第一污水处理厂提标扩容工程竣工结算聘请第三方审核项目标准要求。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采购包1（鄠邑区第一污水处理厂提标扩容工程竣工结算聘请第三方审核项目）：属于专门面向中小企业采购。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3、缴纳税收：提供磋商截止日前一年内已缴纳的至少一个月的纳税证明或完税证明，依法免税的单位应提供相关证明材料；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5、书面声明：参加本次采购前3年内，在经营活动中没有重大违法记录的书面声明；</w:t>
      </w:r>
    </w:p>
    <w:p>
      <w:pPr>
        <w:pStyle w:val="null3"/>
      </w:pPr>
      <w:r>
        <w:rPr>
          <w:rFonts w:ascii="仿宋_GB2312" w:hAnsi="仿宋_GB2312" w:cs="仿宋_GB2312" w:eastAsia="仿宋_GB2312"/>
        </w:rPr>
        <w:t>6、信誉情况：供应商不得列入“信用中国”（www.creditchina.gov.cn）或“中国执行信息公开网”（http://zxgk.court.gov.cn/shixin/）失信被执行人，不得列入“信用中国”（www.creditchina.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7、法定代表人授权委托书：法定代表人参加磋商的，须提供本人身份证复印件（附在资格证明文件中）；法定代表人授 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8、拟派项目负责人：拟派项目负责人须具备国家一级注册造价工程师资格，并在本单位注册；</w:t>
      </w:r>
    </w:p>
    <w:p>
      <w:pPr>
        <w:pStyle w:val="null3"/>
      </w:pPr>
      <w:r>
        <w:rPr>
          <w:rFonts w:ascii="仿宋_GB2312" w:hAnsi="仿宋_GB2312" w:cs="仿宋_GB2312" w:eastAsia="仿宋_GB2312"/>
        </w:rPr>
        <w:t>9、供应商履行合同所必需的设备和专业技术能力：供应商须具有履行合同所必需的设备和专业技术能力，须附相关证明材料或书面声明；</w:t>
      </w:r>
    </w:p>
    <w:p>
      <w:pPr>
        <w:pStyle w:val="null3"/>
      </w:pPr>
      <w:r>
        <w:rPr>
          <w:rFonts w:ascii="仿宋_GB2312" w:hAnsi="仿宋_GB2312" w:cs="仿宋_GB2312" w:eastAsia="仿宋_GB2312"/>
        </w:rPr>
        <w:t>10、非联合体承诺书：本项目不接受联合体，单位负责人为同一人或者存在控股、管理关系的不同单位不得同时参加。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西安市鄠邑区沣京路18号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029-84835136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知含国际工程咨询有限公司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西安市雁塔区电子二路60号城发集团二楼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029-33687895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关于印发招标代理服务收费管理暂行办法的通知》（计价格【2002】1980号）和《国家发展改革委关于降低部分建设项目收费标准规范收费行为等有关问题的通知》（发改办价格【2011】534号）文件规定，按标准收取。2、在领取成交通知书前，由成交单位向采购代理机构缴纳招标代理服务费，一次性付清。3、代理服务费缴纳账户信息：账户名称：知含国际工程咨询有限公司 开户行名称：中国建设银行股份有限公司咸阳世纪大道支行 开户账号：61001635008052503621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西安市鄠邑区水务局</w:t>
      </w:r>
      <w:r>
        <w:rPr>
          <w:rFonts w:ascii="仿宋_GB2312" w:hAnsi="仿宋_GB2312" w:cs="仿宋_GB2312" w:eastAsia="仿宋_GB2312"/>
        </w:rPr>
        <w:t>和</w:t>
      </w:r>
      <w:r>
        <w:rPr>
          <w:rFonts w:ascii="仿宋_GB2312" w:hAnsi="仿宋_GB2312" w:cs="仿宋_GB2312" w:eastAsia="仿宋_GB2312"/>
        </w:rPr>
        <w:t>知含国际工程咨询有限公司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知含国际工程咨询有限公司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知含国际工程咨询有限公司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联系人：赵荣</w:t>
      </w:r>
    </w:p>
    <w:p>
      <w:pPr>
        <w:pStyle w:val="null3"/>
      </w:pPr>
      <w:r>
        <w:rPr>
          <w:rFonts w:ascii="仿宋_GB2312" w:hAnsi="仿宋_GB2312" w:cs="仿宋_GB2312" w:eastAsia="仿宋_GB2312"/>
        </w:rPr>
        <w:t>联系电话：029-33687895</w:t>
      </w:r>
    </w:p>
    <w:p>
      <w:pPr>
        <w:pStyle w:val="null3"/>
      </w:pPr>
      <w:r>
        <w:rPr>
          <w:rFonts w:ascii="仿宋_GB2312" w:hAnsi="仿宋_GB2312" w:cs="仿宋_GB2312" w:eastAsia="仿宋_GB2312"/>
        </w:rPr>
        <w:t>地址：西安市雁塔区电子二路60号城发集团二楼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主要建设内容如下：通过政府采购聘请第三方公司实施鄠邑区第一污水处理厂提标扩容工程结算审核工作，出具结算审核报告；需满足的要求:需满足鄠邑区第一污水处理厂提标扩容工程竣工结算聘请第三方审核项目标准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700000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标的名称：700000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项目主要建设内容如下：通过政府采购聘请第三方公司实施</w:t>
            </w:r>
            <w:r>
              <w:rPr>
                <w:rFonts w:ascii="仿宋_GB2312" w:hAnsi="仿宋_GB2312" w:cs="仿宋_GB2312" w:eastAsia="仿宋_GB2312"/>
                <w:sz w:val="21"/>
              </w:rPr>
              <w:t>鄠邑区第一污水处理厂提标扩容工程</w:t>
            </w:r>
            <w:r>
              <w:rPr>
                <w:rFonts w:ascii="仿宋_GB2312" w:hAnsi="仿宋_GB2312" w:cs="仿宋_GB2312" w:eastAsia="仿宋_GB2312"/>
                <w:sz w:val="21"/>
              </w:rPr>
              <w:t>结算审核工作，出具结算审核报告；需满足的要求</w:t>
            </w:r>
            <w:r>
              <w:rPr>
                <w:rFonts w:ascii="仿宋_GB2312" w:hAnsi="仿宋_GB2312" w:cs="仿宋_GB2312" w:eastAsia="仿宋_GB2312"/>
                <w:sz w:val="21"/>
              </w:rPr>
              <w:t>:需满足鄠邑区第一污水处理厂提标扩容工程竣工结算聘请第三方审核项目标准要求。</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.服务内容</w:t>
            </w:r>
          </w:p>
          <w:p>
            <w:pPr>
              <w:pStyle w:val="null3"/>
              <w:ind w:firstLine="420"/>
              <w:jc w:val="both"/>
            </w:pPr>
            <w:r>
              <w:rPr>
                <w:rFonts w:ascii="仿宋_GB2312" w:hAnsi="仿宋_GB2312" w:cs="仿宋_GB2312" w:eastAsia="仿宋_GB2312"/>
                <w:sz w:val="21"/>
              </w:rPr>
              <w:t>1.供应商根据国家法律、法规的有关规定，按规范程序获取审计证据，编制审计工作底稿、取证单，出具审计（审核）报告；</w:t>
            </w:r>
          </w:p>
          <w:p>
            <w:pPr>
              <w:pStyle w:val="null3"/>
              <w:ind w:firstLine="420"/>
              <w:jc w:val="both"/>
            </w:pPr>
            <w:r>
              <w:rPr>
                <w:rFonts w:ascii="仿宋_GB2312" w:hAnsi="仿宋_GB2312" w:cs="仿宋_GB2312" w:eastAsia="仿宋_GB2312"/>
                <w:sz w:val="21"/>
              </w:rPr>
              <w:t>2.供应商在审计过程中要认真细致地对相关数据及资料进行审查、核对，对查出的问题做到事实清楚、证据充分，定性准确，并按照实际工作情况梳理相关问题后向采购人及时进行汇报；</w:t>
            </w:r>
          </w:p>
          <w:p>
            <w:pPr>
              <w:pStyle w:val="null3"/>
              <w:ind w:firstLine="420"/>
              <w:jc w:val="both"/>
            </w:pPr>
            <w:r>
              <w:rPr>
                <w:rFonts w:ascii="仿宋_GB2312" w:hAnsi="仿宋_GB2312" w:cs="仿宋_GB2312" w:eastAsia="仿宋_GB2312"/>
                <w:sz w:val="21"/>
              </w:rPr>
              <w:t>3.结算审核成果文件应符合《建设工程造价咨询成果文件质量标准》CECA/GC7-2012等现行政策法规要求；</w:t>
            </w:r>
          </w:p>
          <w:p>
            <w:pPr>
              <w:pStyle w:val="null3"/>
              <w:ind w:firstLine="420"/>
              <w:jc w:val="both"/>
            </w:pPr>
            <w:r>
              <w:rPr>
                <w:rFonts w:ascii="仿宋_GB2312" w:hAnsi="仿宋_GB2312" w:cs="仿宋_GB2312" w:eastAsia="仿宋_GB2312"/>
                <w:sz w:val="21"/>
              </w:rPr>
              <w:t>4.若供应商与被审计单位及有关人员存在不利于客观公正开展审计工作的关系，供应商应当主动向采购人提出回避。</w:t>
            </w:r>
          </w:p>
          <w:p>
            <w:pPr>
              <w:pStyle w:val="null3"/>
              <w:ind w:firstLine="420"/>
              <w:jc w:val="both"/>
            </w:pPr>
            <w:r>
              <w:rPr>
                <w:rFonts w:ascii="仿宋_GB2312" w:hAnsi="仿宋_GB2312" w:cs="仿宋_GB2312" w:eastAsia="仿宋_GB2312"/>
                <w:sz w:val="21"/>
              </w:rPr>
              <w:t>5.供应商供应商在审计过程中终止受聘或审计项目完成后，要将实施审计过程中收集和形成的全部纸质和电子介质资料及时移交采购人，不得将审计过程中知悉的国家秘密、商业秘密和采购人提供的资料外泄或用于与受托审计事项无关的方面。</w:t>
            </w:r>
          </w:p>
          <w:p>
            <w:pPr>
              <w:pStyle w:val="null3"/>
              <w:jc w:val="both"/>
            </w:pPr>
            <w:r>
              <w:rPr>
                <w:rFonts w:ascii="仿宋_GB2312" w:hAnsi="仿宋_GB2312" w:cs="仿宋_GB2312" w:eastAsia="仿宋_GB2312"/>
                <w:sz w:val="21"/>
              </w:rPr>
              <w:t>三、服务期限</w:t>
            </w:r>
          </w:p>
          <w:p>
            <w:pPr>
              <w:pStyle w:val="null3"/>
            </w:pPr>
            <w:r>
              <w:rPr>
                <w:rFonts w:ascii="仿宋_GB2312" w:hAnsi="仿宋_GB2312" w:cs="仿宋_GB2312" w:eastAsia="仿宋_GB2312"/>
                <w:sz w:val="21"/>
              </w:rPr>
              <w:t>自合同签订之日起</w:t>
            </w:r>
            <w:r>
              <w:rPr>
                <w:rFonts w:ascii="仿宋_GB2312" w:hAnsi="仿宋_GB2312" w:cs="仿宋_GB2312" w:eastAsia="仿宋_GB2312"/>
                <w:sz w:val="21"/>
              </w:rPr>
              <w:t>3个月内完成全部项目的竣工结算工作，并提交成果文件。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自合同签订之日起3个月内完成全部项目的竣工结算工作，并提交成果文件。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项目费用按进度支付，合同签订后30日内支付至合同额的40.00%作为预付款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乙方向甲方提交初稿后支付至合同额的50.00%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乙方向甲方提交最终成果文件后，甲方向乙方一次性付清所有费用支付至合同额的100.00%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违约责任以甲乙双方签订合同时洽谈的条款为准。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U盘2个（签字盖章扫描PDF和word文档格式，U盘存储）。 2.供应商应自协商文件递交截止时间起至磋商结束，保持在线状态。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年度经审计的财务报告（包含审计报告和审计报告中所涉及的财务报表和报表附注），②可提供2024年度供应商完整的全套财务报表（应当包括资产负债表、利润表、现金流量表、所有者权益变动表、附注），③可提供截至响应文件提交截止日一年内银行出具的资信证明，④供应商注册时间截至响应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缴纳税收</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供应商不得列入“信用中国”（www.creditchina.gov.cn）或“中国执行信息公开网”（http://zxgk.court.gov.cn/shixin/）失信被执行人，不得列入“信用中国”（www.creditchina.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 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拟派项目负责人须具备国家一级注册造价工程师资格，并在本单位注册；</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供应商履行合同所必需的设备和专业技术能力</w:t>
            </w:r>
          </w:p>
        </w:tc>
        <w:tc>
          <w:tcPr>
            <w:tcW w:type="dxa" w:w="3322"/>
          </w:tcPr>
          <w:p>
            <w:pPr>
              <w:pStyle w:val="null3"/>
            </w:pPr>
            <w:r>
              <w:rPr>
                <w:rFonts w:ascii="仿宋_GB2312" w:hAnsi="仿宋_GB2312" w:cs="仿宋_GB2312" w:eastAsia="仿宋_GB2312"/>
              </w:rPr>
              <w:t>供应商须具有履行合同所必需的设备和专业技术能力，须附相关证明材料或书面声明；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本项目不接受联合体，单位负责人为同一人或者存在控股、管理关系的不同单位不得同时参加。</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项目组织机构.docx 业绩一览表.docx 服务内容及服务邀请应答表 中小企业声明函 供应商认为需要提供的其他材料.docx 商务应答表 服务承诺.docx 供应商应提交的相关资格证明材料 报价表 响应文件封面 项目负责人.docx 供应商资格要求.docx 残疾人福利性单位声明函 重难点分析.docx 服务方案 总体服务方案.docx 标的清单 质量控制保障措施.docx 实施方案.docx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一、评审内容：针对本项目提出适用于本项目的总体服务方案，方案包括但不限于：①整体服务方案；②整体服务目标；③服务计划。 二、评审标准：1、完整性：方案必须全面，对评审内容中的各项要求有详细描述；2、可实施性：切合本项目实际情况，提出步骤清晰、合理的方案； 3、针对性：方案能够紧扣本项目实际情况，内容科学合理。 三、赋分标准：（满分18分） ①整体服务方案：每完全满足一个评审标准得2分，满分6分；②整体服务目标：每完全满足一个评审标准得2分，满分6分；③服务计划：每完全满足一个评审标准得2分，满分6分；每有一项评审内容存在缺陷的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一、评审内容：针对本项目提出适用于本项目的实施方案，方案包括但不限于：①工作内容；②工作目标；③工作范围；④工作流程。 二、评审标准：1、完整性：方案必须全面，对评审内容中的各项要求有详细描述；2、可实施性：切合本项目实际情况，提出步骤清晰、合理的方案； 3、针对性：方案能够紧扣本项目实际情况，内容科学合理。 三、赋分标准：（满分24分） ①工作内容：每完全满足一个评审标准得2分，满分6分； ②工作目标：每完全满足一个评审标准得2分，满分6分； ③工作范围：每完全满足一个评审标准得2分，满分6分； ④工作流程：每完全满足一个评审标准得2分，满分6分；每有一项评审内容存在缺陷的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一、评审内容：针对本项目作出适用于本项目的重难点分析，内容包括但不限于：①重点难点分析；②应对措施。 二、评审标准：1、可实施性：内容全面，对评审内容中的各项要求有详细描述，切合本项目实际情况； 2、针对性：方案能够紧扣本项目实际情况，内容科学合理。 三、赋分标准：（满分8分） ①重点难点分析：每完全满足一个评审标准得2分，满分4分；②应对措施：每完全满足一个评审标准得2分，满分4分；每有一项评审内容存在缺陷的扣（0-2）分，扣完为止。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 保障措施</w:t>
            </w:r>
          </w:p>
        </w:tc>
        <w:tc>
          <w:tcPr>
            <w:tcW w:type="dxa" w:w="2492"/>
          </w:tcPr>
          <w:p>
            <w:pPr>
              <w:pStyle w:val="null3"/>
            </w:pPr>
            <w:r>
              <w:rPr>
                <w:rFonts w:ascii="仿宋_GB2312" w:hAnsi="仿宋_GB2312" w:cs="仿宋_GB2312" w:eastAsia="仿宋_GB2312"/>
              </w:rPr>
              <w:t>一、评审内容：针对本项目作出适用于本项目的质量控制保障措施，内容包括但不限于：①质量管控体系与制度；②质量保障承诺。 二、评审标准：1、完整性：内容必须全面，对评审内容中的各项要求有详细描述；2、可实施性：切合本项目实际情况，提出步骤清晰、合理的保障措施；3、针对性：内容能够紧扣本项目实际情况，内容科学合理。 三、赋分标准：（满分12分） ①质量管控体系与制度：每完全满足一个评审标准得2分，满分6分；②质量保障承诺：每完全满足一个评审标准得2分，满分6分；每有一项评审内容存在缺陷的扣（0-2）分，扣完为止。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评审内容：①针对本项目对服务期限、进度、人员到位情况、工作底稿准确规范性与成果文件一致性情况作出实质性承诺（应包含不能完全履行承诺时愿意接受相关处罚的承诺）。 评审标准：1、完整性：内容必须全面，对评审内容中的各项要求有详细描述且切合本项目实际情况；2、针对性：内容能够紧扣本项目实际情况，内容科学合理。 三、赋分标准：（满分6分） 完全满足评审标准得3分，满分6分；存在缺陷的扣（0-3）分，扣完为止。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1.项目负责人为中级及以上职称得3分，其他不得分，最高得3分； 2．项目负责人具有担任2022年1月1日至今（以合同签订时间为准）竣工结算或审计项目的业绩，每提供一份得4分，最高得4分。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项目组成员（不包括项目负责人）人数不少于2人，所有人员需具备一级注册造价师资格，满足基本要求的得3分；每增加一名国家注册一级造价工程师加1 分，最高得2分。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供应商提供2022年1月1日至今（以签订的合同日期件加盖公章为准）类似项目业绩合同证明材料（合同复印件加盖公章），每提供一个业绩合同证明材料得2分，最高10分。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详见附件：重难点分析.docx</w:t>
      </w:r>
    </w:p>
    <w:p>
      <w:pPr>
        <w:pStyle w:val="null3"/>
        <w:ind w:firstLine="960"/>
      </w:pPr>
      <w:r>
        <w:rPr>
          <w:rFonts w:ascii="仿宋_GB2312" w:hAnsi="仿宋_GB2312" w:cs="仿宋_GB2312" w:eastAsia="仿宋_GB2312"/>
        </w:rPr>
        <w:t>详见附件：质量控制保障措施.docx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详见附件：供应商认为需要提供的其他材料.docx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