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E492">
      <w:pPr>
        <w:spacing w:line="360" w:lineRule="auto"/>
        <w:jc w:val="center"/>
        <w:outlineLvl w:val="9"/>
        <w:rPr>
          <w:rFonts w:hint="eastAsia" w:ascii="宋体" w:hAnsi="宋体" w:eastAsia="宋体" w:cs="宋体"/>
          <w:b/>
          <w:bCs/>
          <w:kern w:val="2"/>
          <w:sz w:val="24"/>
          <w:szCs w:val="24"/>
        </w:rPr>
      </w:pPr>
      <w:r>
        <w:rPr>
          <w:rFonts w:hint="eastAsia" w:ascii="宋体" w:hAnsi="宋体" w:eastAsia="宋体" w:cs="宋体"/>
          <w:b/>
          <w:bCs/>
          <w:kern w:val="2"/>
          <w:sz w:val="24"/>
          <w:szCs w:val="24"/>
        </w:rPr>
        <w:t>本合同仅为合同的参考文本</w:t>
      </w:r>
      <w:r>
        <w:rPr>
          <w:rFonts w:hint="eastAsia" w:ascii="宋体" w:hAnsi="宋体" w:eastAsia="宋体" w:cs="宋体"/>
          <w:b/>
          <w:bCs/>
          <w:kern w:val="2"/>
          <w:sz w:val="24"/>
          <w:szCs w:val="24"/>
          <w:lang w:eastAsia="zh-CN"/>
        </w:rPr>
        <w:t>，</w:t>
      </w:r>
      <w:r>
        <w:rPr>
          <w:rFonts w:hint="eastAsia" w:ascii="宋体" w:hAnsi="宋体" w:eastAsia="宋体" w:cs="宋体"/>
          <w:b/>
          <w:bCs/>
          <w:kern w:val="2"/>
          <w:sz w:val="24"/>
          <w:szCs w:val="24"/>
        </w:rPr>
        <w:t>合同签订双方可根据项目的具体要求进行修订。</w:t>
      </w:r>
    </w:p>
    <w:p w14:paraId="7297DBC0">
      <w:pPr>
        <w:spacing w:line="520" w:lineRule="exact"/>
        <w:ind w:firstLine="482" w:firstLineChars="200"/>
        <w:jc w:val="center"/>
        <w:rPr>
          <w:rFonts w:hint="eastAsia" w:ascii="仿宋" w:hAnsi="仿宋" w:eastAsia="仿宋" w:cs="仿宋"/>
          <w:b/>
          <w:bCs/>
          <w:sz w:val="32"/>
          <w:szCs w:val="32"/>
        </w:rPr>
      </w:pPr>
      <w:r>
        <w:rPr>
          <w:rFonts w:hint="eastAsia" w:ascii="宋体" w:hAnsi="宋体" w:eastAsia="宋体" w:cs="宋体"/>
          <w:b/>
          <w:bCs/>
          <w:kern w:val="2"/>
          <w:sz w:val="24"/>
          <w:szCs w:val="24"/>
        </w:rPr>
        <w:t>本合同为中小企业预留合同</w:t>
      </w:r>
    </w:p>
    <w:p w14:paraId="4F43EC9B">
      <w:pPr>
        <w:spacing w:line="520" w:lineRule="exact"/>
        <w:ind w:firstLine="643" w:firstLineChars="200"/>
        <w:jc w:val="center"/>
        <w:rPr>
          <w:rFonts w:hint="eastAsia" w:ascii="仿宋" w:hAnsi="仿宋" w:eastAsia="仿宋" w:cs="仿宋"/>
          <w:b/>
          <w:bCs/>
          <w:sz w:val="32"/>
          <w:szCs w:val="32"/>
        </w:rPr>
      </w:pPr>
    </w:p>
    <w:p w14:paraId="794AB216">
      <w:pPr>
        <w:spacing w:line="520" w:lineRule="exact"/>
        <w:ind w:firstLine="643" w:firstLineChars="200"/>
        <w:jc w:val="center"/>
        <w:rPr>
          <w:rFonts w:ascii="仿宋" w:hAnsi="仿宋" w:eastAsia="仿宋" w:cs="仿宋"/>
          <w:b/>
          <w:bCs/>
          <w:sz w:val="32"/>
          <w:szCs w:val="32"/>
        </w:rPr>
      </w:pPr>
      <w:r>
        <w:rPr>
          <w:rFonts w:hint="eastAsia" w:ascii="仿宋" w:hAnsi="仿宋" w:eastAsia="仿宋" w:cs="仿宋"/>
          <w:b/>
          <w:bCs/>
          <w:sz w:val="32"/>
          <w:szCs w:val="32"/>
        </w:rPr>
        <w:t>合同文本</w:t>
      </w:r>
    </w:p>
    <w:p w14:paraId="5F49A5CC">
      <w:pPr>
        <w:spacing w:line="360" w:lineRule="auto"/>
        <w:rPr>
          <w:rFonts w:hint="eastAsia" w:ascii="仿宋" w:hAnsi="仿宋" w:eastAsia="仿宋" w:cs="仿宋"/>
          <w:sz w:val="28"/>
          <w:szCs w:val="28"/>
        </w:rPr>
      </w:pPr>
    </w:p>
    <w:p w14:paraId="341EA51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1"/>
          <w:szCs w:val="21"/>
          <w:u w:val="single"/>
          <w:lang w:val="en-US"/>
        </w:rPr>
      </w:pPr>
      <w:r>
        <w:rPr>
          <w:rFonts w:hint="eastAsia" w:ascii="宋体" w:hAnsi="宋体" w:eastAsia="宋体" w:cs="宋体"/>
          <w:sz w:val="21"/>
          <w:szCs w:val="21"/>
        </w:rPr>
        <w:t>甲方：</w:t>
      </w:r>
      <w:r>
        <w:rPr>
          <w:rFonts w:hint="eastAsia" w:ascii="宋体" w:hAnsi="宋体" w:eastAsia="宋体" w:cs="宋体"/>
          <w:sz w:val="21"/>
          <w:szCs w:val="21"/>
          <w:u w:val="single"/>
          <w:lang w:eastAsia="zh-CN"/>
        </w:rPr>
        <w:t>西安市鄠邑区</w:t>
      </w:r>
      <w:r>
        <w:rPr>
          <w:rFonts w:hint="eastAsia" w:ascii="宋体" w:hAnsi="宋体" w:eastAsia="宋体" w:cs="宋体"/>
          <w:sz w:val="21"/>
          <w:szCs w:val="21"/>
          <w:u w:val="single"/>
          <w:lang w:val="en-US" w:eastAsia="zh-CN"/>
        </w:rPr>
        <w:t xml:space="preserve">水务局    </w:t>
      </w:r>
    </w:p>
    <w:p w14:paraId="1E68B03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乙方：</w:t>
      </w:r>
      <w:r>
        <w:rPr>
          <w:rFonts w:hint="eastAsia" w:ascii="宋体" w:hAnsi="宋体" w:eastAsia="宋体" w:cs="宋体"/>
          <w:sz w:val="21"/>
          <w:szCs w:val="21"/>
          <w:u w:val="single"/>
          <w:lang w:val="en-US" w:eastAsia="zh-CN"/>
        </w:rPr>
        <w:t xml:space="preserve">                      </w:t>
      </w:r>
    </w:p>
    <w:p w14:paraId="011A888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根据《中华人民共和国政府采购法》《中华人民共和国民法典》和甲方</w:t>
      </w:r>
      <w:r>
        <w:rPr>
          <w:rFonts w:hint="eastAsia" w:ascii="宋体" w:hAnsi="宋体" w:eastAsia="宋体" w:cs="宋体"/>
          <w:sz w:val="21"/>
          <w:szCs w:val="21"/>
          <w:u w:val="single"/>
          <w:lang w:val="en-US" w:eastAsia="zh-CN"/>
        </w:rPr>
        <w:t xml:space="preserve"> 鄠邑区第一污水处理厂提标扩容工程竣工结算聘请第三方审核项目 </w:t>
      </w:r>
      <w:r>
        <w:rPr>
          <w:rFonts w:hint="eastAsia" w:ascii="宋体" w:hAnsi="宋体" w:eastAsia="宋体" w:cs="宋体"/>
          <w:sz w:val="21"/>
          <w:szCs w:val="21"/>
          <w:lang w:val="en-US" w:eastAsia="zh-CN"/>
        </w:rPr>
        <w:t>磋商</w:t>
      </w:r>
      <w:r>
        <w:rPr>
          <w:rFonts w:hint="eastAsia" w:ascii="宋体" w:hAnsi="宋体" w:eastAsia="宋体" w:cs="宋体"/>
          <w:sz w:val="21"/>
          <w:szCs w:val="21"/>
        </w:rPr>
        <w:t>文件及乙方的</w:t>
      </w:r>
      <w:r>
        <w:rPr>
          <w:rFonts w:hint="eastAsia" w:ascii="宋体" w:hAnsi="宋体" w:eastAsia="宋体" w:cs="宋体"/>
          <w:sz w:val="21"/>
          <w:szCs w:val="21"/>
          <w:lang w:val="en-US" w:eastAsia="zh-CN"/>
        </w:rPr>
        <w:t>磋商响应</w:t>
      </w:r>
      <w:r>
        <w:rPr>
          <w:rFonts w:hint="eastAsia" w:ascii="宋体" w:hAnsi="宋体" w:eastAsia="宋体" w:cs="宋体"/>
          <w:sz w:val="21"/>
          <w:szCs w:val="21"/>
        </w:rPr>
        <w:t>文件等有关规定，为确保甲方采购项目的顺利实施，甲、乙双方在平等自愿原则下签订本合同，双方共同遵守以下约定。</w:t>
      </w:r>
    </w:p>
    <w:p w14:paraId="38F7C2D9">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一、委托内容及服务有效期限</w:t>
      </w:r>
    </w:p>
    <w:p w14:paraId="787A1A1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（一）项目名称：</w:t>
      </w:r>
      <w:r>
        <w:rPr>
          <w:rFonts w:hint="eastAsia" w:ascii="宋体" w:hAnsi="宋体" w:eastAsia="宋体" w:cs="宋体"/>
          <w:sz w:val="21"/>
          <w:szCs w:val="21"/>
          <w:u w:val="single"/>
          <w:lang w:eastAsia="zh-CN"/>
        </w:rPr>
        <w:t>鄠邑区第一污水处理厂提标扩容工程竣工结算聘请第三方审核项目</w:t>
      </w:r>
      <w:r>
        <w:rPr>
          <w:rFonts w:hint="eastAsia" w:ascii="宋体" w:hAnsi="宋体" w:eastAsia="宋体" w:cs="宋体"/>
          <w:sz w:val="21"/>
          <w:szCs w:val="21"/>
        </w:rPr>
        <w:t>。</w:t>
      </w:r>
    </w:p>
    <w:p w14:paraId="27492FF6">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（二）服务有效期限：</w:t>
      </w:r>
      <w:r>
        <w:rPr>
          <w:rFonts w:hint="eastAsia" w:ascii="宋体" w:hAnsi="宋体" w:eastAsia="宋体" w:cs="宋体"/>
          <w:sz w:val="21"/>
          <w:szCs w:val="21"/>
          <w:u w:val="single"/>
          <w:lang w:val="en-US" w:eastAsia="zh-CN"/>
        </w:rPr>
        <w:t>自合同签订之日起3个月内完成全部项目的竣工结算工作，并提交成果文件。</w:t>
      </w:r>
    </w:p>
    <w:p w14:paraId="29D4E962">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二、服务要求</w:t>
      </w:r>
    </w:p>
    <w:p w14:paraId="2E2C296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1、乙方严格按照投标时报送《拟派人员构成情况表》的要求向甲方提交项目负责人、项目组其他人员的身份证复印件、职称复印件、执业资格证复印件加盖公章装订成册报送甲方备案。</w:t>
      </w:r>
    </w:p>
    <w:p w14:paraId="0F3957F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拟派人员构成情况表</w:t>
      </w:r>
    </w:p>
    <w:tbl>
      <w:tblPr>
        <w:tblStyle w:val="4"/>
        <w:tblW w:w="5213"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325"/>
        <w:gridCol w:w="1098"/>
        <w:gridCol w:w="1098"/>
        <w:gridCol w:w="1357"/>
        <w:gridCol w:w="1092"/>
        <w:gridCol w:w="1335"/>
        <w:gridCol w:w="1290"/>
      </w:tblGrid>
      <w:tr w14:paraId="3180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right"/>
        </w:trPr>
        <w:tc>
          <w:tcPr>
            <w:tcW w:w="562" w:type="pct"/>
            <w:noWrap/>
            <w:vAlign w:val="center"/>
          </w:tcPr>
          <w:p w14:paraId="2BA7074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4" w:type="pct"/>
            <w:noWrap/>
            <w:vAlign w:val="center"/>
          </w:tcPr>
          <w:p w14:paraId="5C8C6D49">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姓名</w:t>
            </w:r>
          </w:p>
        </w:tc>
        <w:tc>
          <w:tcPr>
            <w:tcW w:w="566" w:type="pct"/>
            <w:noWrap/>
            <w:vAlign w:val="center"/>
          </w:tcPr>
          <w:p w14:paraId="31996AC4">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职务</w:t>
            </w:r>
          </w:p>
        </w:tc>
        <w:tc>
          <w:tcPr>
            <w:tcW w:w="566" w:type="pct"/>
            <w:noWrap/>
            <w:vAlign w:val="center"/>
          </w:tcPr>
          <w:p w14:paraId="13DF934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职称</w:t>
            </w:r>
          </w:p>
        </w:tc>
        <w:tc>
          <w:tcPr>
            <w:tcW w:w="700" w:type="pct"/>
            <w:noWrap/>
            <w:vAlign w:val="center"/>
          </w:tcPr>
          <w:p w14:paraId="1046CD2C">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both"/>
              <w:textAlignment w:val="auto"/>
              <w:rPr>
                <w:rFonts w:hint="eastAsia" w:ascii="宋体" w:hAnsi="宋体" w:eastAsia="宋体" w:cs="宋体"/>
                <w:sz w:val="21"/>
                <w:szCs w:val="21"/>
              </w:rPr>
            </w:pPr>
            <w:r>
              <w:rPr>
                <w:rFonts w:hint="eastAsia" w:ascii="宋体" w:hAnsi="宋体" w:eastAsia="宋体" w:cs="宋体"/>
                <w:sz w:val="21"/>
                <w:szCs w:val="21"/>
              </w:rPr>
              <w:t>职业（执业）资格证书</w:t>
            </w:r>
          </w:p>
        </w:tc>
        <w:tc>
          <w:tcPr>
            <w:tcW w:w="563" w:type="pct"/>
            <w:noWrap/>
            <w:vAlign w:val="center"/>
          </w:tcPr>
          <w:p w14:paraId="29A114F5">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从事专业</w:t>
            </w:r>
          </w:p>
        </w:tc>
        <w:tc>
          <w:tcPr>
            <w:tcW w:w="689" w:type="pct"/>
            <w:noWrap/>
            <w:vAlign w:val="center"/>
          </w:tcPr>
          <w:p w14:paraId="7316588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从事专业</w:t>
            </w:r>
          </w:p>
          <w:p w14:paraId="6906BA11">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年限</w:t>
            </w:r>
          </w:p>
        </w:tc>
        <w:tc>
          <w:tcPr>
            <w:tcW w:w="666" w:type="pct"/>
            <w:noWrap/>
            <w:vAlign w:val="center"/>
          </w:tcPr>
          <w:p w14:paraId="3B8E5E40">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联系</w:t>
            </w:r>
          </w:p>
          <w:p w14:paraId="1049761E">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电话</w:t>
            </w:r>
          </w:p>
        </w:tc>
      </w:tr>
      <w:tr w14:paraId="0A0E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noWrap/>
            <w:vAlign w:val="center"/>
          </w:tcPr>
          <w:p w14:paraId="18057290">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项目</w:t>
            </w:r>
          </w:p>
          <w:p w14:paraId="0FDB89C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负责人</w:t>
            </w:r>
          </w:p>
        </w:tc>
        <w:tc>
          <w:tcPr>
            <w:tcW w:w="684" w:type="pct"/>
            <w:noWrap/>
            <w:vAlign w:val="center"/>
          </w:tcPr>
          <w:p w14:paraId="206F734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01E5D95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6EDE956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700" w:type="pct"/>
            <w:noWrap/>
            <w:vAlign w:val="center"/>
          </w:tcPr>
          <w:p w14:paraId="037971B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3" w:type="pct"/>
            <w:noWrap/>
            <w:vAlign w:val="center"/>
          </w:tcPr>
          <w:p w14:paraId="4E28BC5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9" w:type="pct"/>
            <w:noWrap/>
            <w:vAlign w:val="center"/>
          </w:tcPr>
          <w:p w14:paraId="1F50FF6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66" w:type="pct"/>
            <w:noWrap/>
            <w:vAlign w:val="center"/>
          </w:tcPr>
          <w:p w14:paraId="45DD00E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r>
      <w:tr w14:paraId="2C84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vMerge w:val="restart"/>
            <w:noWrap/>
            <w:vAlign w:val="center"/>
          </w:tcPr>
          <w:p w14:paraId="2E9BB66F">
            <w:pPr>
              <w:keepNext w:val="0"/>
              <w:keepLines w:val="0"/>
              <w:pageBreakBefore w:val="0"/>
              <w:widowControl w:val="0"/>
              <w:kinsoku/>
              <w:wordWrap/>
              <w:overflowPunct/>
              <w:topLinePunct w:val="0"/>
              <w:autoSpaceDE/>
              <w:autoSpaceDN/>
              <w:bidi w:val="0"/>
              <w:adjustRightInd/>
              <w:snapToGrid/>
              <w:spacing w:line="460" w:lineRule="exact"/>
              <w:ind w:left="210" w:leftChars="0" w:hanging="210" w:hangingChars="100"/>
              <w:jc w:val="center"/>
              <w:textAlignment w:val="auto"/>
              <w:rPr>
                <w:rFonts w:hint="eastAsia" w:ascii="宋体" w:hAnsi="宋体" w:eastAsia="宋体" w:cs="宋体"/>
                <w:sz w:val="21"/>
                <w:szCs w:val="21"/>
              </w:rPr>
            </w:pPr>
            <w:r>
              <w:rPr>
                <w:rFonts w:hint="eastAsia" w:ascii="宋体" w:hAnsi="宋体" w:eastAsia="宋体" w:cs="宋体"/>
                <w:sz w:val="21"/>
                <w:szCs w:val="21"/>
              </w:rPr>
              <w:t>项目组</w:t>
            </w:r>
          </w:p>
          <w:p w14:paraId="4B41129E">
            <w:pPr>
              <w:keepNext w:val="0"/>
              <w:keepLines w:val="0"/>
              <w:pageBreakBefore w:val="0"/>
              <w:widowControl w:val="0"/>
              <w:kinsoku/>
              <w:wordWrap/>
              <w:overflowPunct/>
              <w:topLinePunct w:val="0"/>
              <w:autoSpaceDE/>
              <w:autoSpaceDN/>
              <w:bidi w:val="0"/>
              <w:adjustRightInd/>
              <w:snapToGrid/>
              <w:spacing w:line="460" w:lineRule="exact"/>
              <w:ind w:left="210" w:leftChars="0" w:hanging="210" w:hangingChars="100"/>
              <w:jc w:val="center"/>
              <w:textAlignment w:val="auto"/>
              <w:rPr>
                <w:rFonts w:hint="eastAsia" w:ascii="宋体" w:hAnsi="宋体" w:eastAsia="宋体" w:cs="宋体"/>
                <w:sz w:val="21"/>
                <w:szCs w:val="21"/>
              </w:rPr>
            </w:pPr>
            <w:r>
              <w:rPr>
                <w:rFonts w:hint="eastAsia" w:ascii="宋体" w:hAnsi="宋体" w:eastAsia="宋体" w:cs="宋体"/>
                <w:sz w:val="21"/>
                <w:szCs w:val="21"/>
              </w:rPr>
              <w:t>其他人员</w:t>
            </w:r>
          </w:p>
        </w:tc>
        <w:tc>
          <w:tcPr>
            <w:tcW w:w="684" w:type="pct"/>
            <w:noWrap/>
            <w:vAlign w:val="center"/>
          </w:tcPr>
          <w:p w14:paraId="54E32C2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64E0FF9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419725D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700" w:type="pct"/>
            <w:noWrap/>
            <w:vAlign w:val="center"/>
          </w:tcPr>
          <w:p w14:paraId="141E7EA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3" w:type="pct"/>
            <w:noWrap/>
            <w:vAlign w:val="center"/>
          </w:tcPr>
          <w:p w14:paraId="33F9A7F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9" w:type="pct"/>
            <w:noWrap/>
            <w:vAlign w:val="center"/>
          </w:tcPr>
          <w:p w14:paraId="7B12106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66" w:type="pct"/>
            <w:noWrap/>
            <w:vAlign w:val="center"/>
          </w:tcPr>
          <w:p w14:paraId="3BE63FD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r>
      <w:tr w14:paraId="4831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vMerge w:val="continue"/>
            <w:noWrap/>
            <w:vAlign w:val="center"/>
          </w:tcPr>
          <w:p w14:paraId="414A673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4" w:type="pct"/>
            <w:noWrap/>
            <w:vAlign w:val="center"/>
          </w:tcPr>
          <w:p w14:paraId="5BA5A4B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0B6C44D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4E7AE68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700" w:type="pct"/>
            <w:noWrap/>
            <w:vAlign w:val="center"/>
          </w:tcPr>
          <w:p w14:paraId="22FA415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3" w:type="pct"/>
            <w:noWrap/>
            <w:vAlign w:val="center"/>
          </w:tcPr>
          <w:p w14:paraId="2223354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9" w:type="pct"/>
            <w:noWrap/>
            <w:vAlign w:val="center"/>
          </w:tcPr>
          <w:p w14:paraId="6D4A0F7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66" w:type="pct"/>
            <w:noWrap/>
            <w:vAlign w:val="center"/>
          </w:tcPr>
          <w:p w14:paraId="58316E9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r>
      <w:tr w14:paraId="1623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vMerge w:val="continue"/>
            <w:noWrap/>
            <w:vAlign w:val="center"/>
          </w:tcPr>
          <w:p w14:paraId="57DCDCD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4" w:type="pct"/>
            <w:noWrap/>
            <w:vAlign w:val="center"/>
          </w:tcPr>
          <w:p w14:paraId="7F5FDD0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398B429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687C785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700" w:type="pct"/>
            <w:noWrap/>
            <w:vAlign w:val="center"/>
          </w:tcPr>
          <w:p w14:paraId="07D4D4B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3" w:type="pct"/>
            <w:noWrap/>
            <w:vAlign w:val="center"/>
          </w:tcPr>
          <w:p w14:paraId="3D67098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9" w:type="pct"/>
            <w:noWrap/>
            <w:vAlign w:val="center"/>
          </w:tcPr>
          <w:p w14:paraId="6FB1ED7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66" w:type="pct"/>
            <w:noWrap/>
            <w:vAlign w:val="center"/>
          </w:tcPr>
          <w:p w14:paraId="00379C0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r>
      <w:tr w14:paraId="4532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vMerge w:val="continue"/>
            <w:noWrap/>
            <w:vAlign w:val="center"/>
          </w:tcPr>
          <w:p w14:paraId="130802A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4" w:type="pct"/>
            <w:noWrap/>
            <w:vAlign w:val="center"/>
          </w:tcPr>
          <w:p w14:paraId="644D30A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36B2674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20C2404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700" w:type="pct"/>
            <w:noWrap/>
            <w:vAlign w:val="center"/>
          </w:tcPr>
          <w:p w14:paraId="5F7B9C3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3" w:type="pct"/>
            <w:noWrap/>
            <w:vAlign w:val="center"/>
          </w:tcPr>
          <w:p w14:paraId="6B7B467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9" w:type="pct"/>
            <w:noWrap/>
            <w:vAlign w:val="center"/>
          </w:tcPr>
          <w:p w14:paraId="5B8E03A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66" w:type="pct"/>
            <w:noWrap/>
            <w:vAlign w:val="center"/>
          </w:tcPr>
          <w:p w14:paraId="066FC9E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r>
      <w:tr w14:paraId="3FFD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vMerge w:val="continue"/>
            <w:noWrap/>
            <w:vAlign w:val="center"/>
          </w:tcPr>
          <w:p w14:paraId="08750CD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4" w:type="pct"/>
            <w:noWrap/>
            <w:vAlign w:val="center"/>
          </w:tcPr>
          <w:p w14:paraId="3763970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4F102CA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15297D6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700" w:type="pct"/>
            <w:noWrap/>
            <w:vAlign w:val="center"/>
          </w:tcPr>
          <w:p w14:paraId="30F44D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3" w:type="pct"/>
            <w:noWrap/>
            <w:vAlign w:val="center"/>
          </w:tcPr>
          <w:p w14:paraId="50DBAC7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9" w:type="pct"/>
            <w:noWrap/>
            <w:vAlign w:val="center"/>
          </w:tcPr>
          <w:p w14:paraId="0F018E8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66" w:type="pct"/>
            <w:noWrap/>
            <w:vAlign w:val="center"/>
          </w:tcPr>
          <w:p w14:paraId="0C7A333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r>
      <w:tr w14:paraId="1130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vMerge w:val="continue"/>
            <w:noWrap/>
            <w:vAlign w:val="center"/>
          </w:tcPr>
          <w:p w14:paraId="1BE842F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4" w:type="pct"/>
            <w:noWrap/>
            <w:vAlign w:val="center"/>
          </w:tcPr>
          <w:p w14:paraId="2AC6E42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499289C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6" w:type="pct"/>
            <w:noWrap/>
            <w:vAlign w:val="center"/>
          </w:tcPr>
          <w:p w14:paraId="0399EAE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700" w:type="pct"/>
            <w:noWrap/>
            <w:vAlign w:val="center"/>
          </w:tcPr>
          <w:p w14:paraId="529FBE0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563" w:type="pct"/>
            <w:noWrap/>
            <w:vAlign w:val="center"/>
          </w:tcPr>
          <w:p w14:paraId="7AB2AAD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9" w:type="pct"/>
            <w:noWrap/>
            <w:vAlign w:val="center"/>
          </w:tcPr>
          <w:p w14:paraId="04FCA2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66" w:type="pct"/>
            <w:noWrap/>
            <w:vAlign w:val="center"/>
          </w:tcPr>
          <w:p w14:paraId="2F72FC2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r>
      <w:tr w14:paraId="1970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562" w:type="pct"/>
            <w:vMerge w:val="continue"/>
            <w:noWrap/>
            <w:vAlign w:val="center"/>
          </w:tcPr>
          <w:p w14:paraId="1F966B3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tc>
        <w:tc>
          <w:tcPr>
            <w:tcW w:w="684" w:type="pct"/>
            <w:noWrap/>
            <w:vAlign w:val="center"/>
          </w:tcPr>
          <w:p w14:paraId="00DAACAE">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566" w:type="pct"/>
            <w:noWrap/>
            <w:vAlign w:val="center"/>
          </w:tcPr>
          <w:p w14:paraId="3BB8D1A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566" w:type="pct"/>
            <w:noWrap/>
            <w:vAlign w:val="center"/>
          </w:tcPr>
          <w:p w14:paraId="2CACE227">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700" w:type="pct"/>
            <w:noWrap/>
            <w:vAlign w:val="center"/>
          </w:tcPr>
          <w:p w14:paraId="08FB74B1">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563" w:type="pct"/>
            <w:noWrap/>
            <w:vAlign w:val="center"/>
          </w:tcPr>
          <w:p w14:paraId="376CD55A">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689" w:type="pct"/>
            <w:noWrap/>
            <w:vAlign w:val="center"/>
          </w:tcPr>
          <w:p w14:paraId="557D442C">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666" w:type="pct"/>
            <w:noWrap/>
            <w:vAlign w:val="center"/>
          </w:tcPr>
          <w:p w14:paraId="59627238">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r>
    </w:tbl>
    <w:p w14:paraId="3BB61B2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2、甲方对乙方人员中涉及与</w:t>
      </w:r>
      <w:r>
        <w:rPr>
          <w:rFonts w:hint="eastAsia" w:ascii="宋体" w:hAnsi="宋体" w:eastAsia="宋体" w:cs="宋体"/>
          <w:sz w:val="21"/>
          <w:szCs w:val="21"/>
          <w:lang w:val="en-US" w:eastAsia="zh-CN"/>
        </w:rPr>
        <w:t>此次</w:t>
      </w:r>
      <w:r>
        <w:rPr>
          <w:rFonts w:hint="eastAsia" w:ascii="宋体" w:hAnsi="宋体" w:eastAsia="宋体" w:cs="宋体"/>
          <w:sz w:val="21"/>
          <w:szCs w:val="21"/>
        </w:rPr>
        <w:t>项目对象有利害关系的人员有权要求其回避并更换。</w:t>
      </w:r>
    </w:p>
    <w:p w14:paraId="61DF33C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未经乙方书面申请及甲方同意，乙方不得更换、减派《拟派人员构成情况表》中人员，否则视为违约。表中项目负责人应作为本项目的现场负责人，除协调项目有关事宜外，还应承担管理责任，须管控并推进项目的总体进度，积极主动沟通、保质按时将项目完成。最终出具的正式成果报告，应有项目负责人签章。</w:t>
      </w:r>
    </w:p>
    <w:p w14:paraId="6FAF780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3、乙方所报的投标文件视为本合同附件，乙方应严格按照所报承诺履行自身义务。</w:t>
      </w:r>
    </w:p>
    <w:p w14:paraId="6BD0DBF2">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4、如遇申诉、上级检查等情况，无论合同服务是否结束，乙方应当无条件配合。</w:t>
      </w:r>
    </w:p>
    <w:p w14:paraId="3060C6FE">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三、咨询费用</w:t>
      </w:r>
    </w:p>
    <w:p w14:paraId="0A05569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合同总金额（大写）：</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E1F04A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项目按照固定总价方式，总价包干，合同总价即中标价，乙方提供服务所发生的一切费用（包括增值税等相关税费）等都已包含于合同价款中。在合同洽谈和合同执行过程中，不得以任何理由提出费用增加请求。</w:t>
      </w:r>
    </w:p>
    <w:p w14:paraId="6FEFF9F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2、双方应当遵循以下付款原则：</w:t>
      </w:r>
    </w:p>
    <w:p w14:paraId="24ED7791">
      <w:pPr>
        <w:keepNext w:val="0"/>
        <w:keepLines w:val="0"/>
        <w:pageBreakBefore w:val="0"/>
        <w:widowControl w:val="0"/>
        <w:kinsoku/>
        <w:wordWrap/>
        <w:overflowPunct/>
        <w:topLinePunct w:val="0"/>
        <w:autoSpaceDE/>
        <w:autoSpaceDN/>
        <w:bidi w:val="0"/>
        <w:adjustRightInd/>
        <w:snapToGrid/>
        <w:spacing w:line="46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1）双方同意用人民币支付酬金，结算方式为银行转账，服务价格包含国家规定的全部税费。乙方必须提供符合中国法律规定的足额税务发票,否则甲方有权不予付款，且不承担违约责任。开具的发票金额与经甲方确认的费用计算金额应当一致，要求最终计算金额四舍五入精确到元。</w:t>
      </w:r>
    </w:p>
    <w:p w14:paraId="3D226E4C">
      <w:pPr>
        <w:keepNext w:val="0"/>
        <w:keepLines w:val="0"/>
        <w:pageBreakBefore w:val="0"/>
        <w:widowControl w:val="0"/>
        <w:kinsoku/>
        <w:wordWrap/>
        <w:overflowPunct/>
        <w:topLinePunct w:val="0"/>
        <w:autoSpaceDE/>
        <w:autoSpaceDN/>
        <w:bidi w:val="0"/>
        <w:adjustRightInd/>
        <w:snapToGrid/>
        <w:spacing w:line="460" w:lineRule="exact"/>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（2）付款条件说明：项目费用按进度支付，合同签订后30日内支付至合同额的40.00%作为预付款，达到付款条件起7日内，支付合同总金额的40.00%。</w:t>
      </w:r>
    </w:p>
    <w:p w14:paraId="56B800DF">
      <w:pPr>
        <w:keepNext w:val="0"/>
        <w:keepLines w:val="0"/>
        <w:pageBreakBefore w:val="0"/>
        <w:widowControl w:val="0"/>
        <w:kinsoku/>
        <w:wordWrap/>
        <w:overflowPunct/>
        <w:topLinePunct w:val="0"/>
        <w:autoSpaceDE/>
        <w:autoSpaceDN/>
        <w:bidi w:val="0"/>
        <w:adjustRightInd/>
        <w:snapToGrid/>
        <w:spacing w:line="460" w:lineRule="exact"/>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付款条件说明：乙方向甲方提交初稿后支付至合同额的50.00% ，达到付款条件起 7 日内，支付合同总金额的10.00%。</w:t>
      </w:r>
    </w:p>
    <w:p w14:paraId="5B628AB7">
      <w:pPr>
        <w:keepNext w:val="0"/>
        <w:keepLines w:val="0"/>
        <w:pageBreakBefore w:val="0"/>
        <w:widowControl w:val="0"/>
        <w:kinsoku/>
        <w:wordWrap/>
        <w:overflowPunct/>
        <w:topLinePunct w:val="0"/>
        <w:autoSpaceDE/>
        <w:autoSpaceDN/>
        <w:bidi w:val="0"/>
        <w:adjustRightInd/>
        <w:snapToGrid/>
        <w:spacing w:line="460" w:lineRule="exact"/>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付款条件说明：乙方向甲方提交最终成果文件后，甲方向乙方一次性付清所有费用支付至合同额的100.00%，达到付款条件起 7日内，支付合同总价款的50%。</w:t>
      </w:r>
    </w:p>
    <w:p w14:paraId="7DE08B08">
      <w:pPr>
        <w:keepNext w:val="0"/>
        <w:keepLines w:val="0"/>
        <w:pageBreakBefore w:val="0"/>
        <w:widowControl w:val="0"/>
        <w:kinsoku/>
        <w:wordWrap/>
        <w:overflowPunct/>
        <w:topLinePunct w:val="0"/>
        <w:autoSpaceDE/>
        <w:autoSpaceDN/>
        <w:bidi w:val="0"/>
        <w:adjustRightInd/>
        <w:snapToGrid/>
        <w:spacing w:line="46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（3）乙方承诺只按照上述列明的收费项目和收费标准向甲方收取相关费用，除此之外不再向甲方收取任何形式的其他费用。</w:t>
      </w:r>
    </w:p>
    <w:p w14:paraId="34529260">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四、权利和义务</w:t>
      </w:r>
    </w:p>
    <w:p w14:paraId="7B220A44">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（一）甲方权利</w:t>
      </w:r>
    </w:p>
    <w:p w14:paraId="390E7DC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1、甲方享有获得完整报告书的权利。本项目的全部成果文件及过程性文件的所有权和知识产权归甲方所有。</w:t>
      </w:r>
    </w:p>
    <w:p w14:paraId="0F8691F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2、甲方有权向乙方询问工作进展情况及相关的内容，复核乙方成果文件并阐述对具体问题的意见和建议，乙方应当及时予以配合，在收到甲方提出的意见和建议之日起48小时内完成反馈与修改。</w:t>
      </w:r>
    </w:p>
    <w:p w14:paraId="3074BC6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当甲方认定乙方从业人员不按咨询合同履行其职责时，有权要求更换相关人员，乙方应当及时进行配合，以致达到甲方要求，否则因此造成的损失由乙方承担；当乙方在咨询过程中，服务质量、进度满足不了甲方要求时，甲方有权经落实后对委托内容、费用作相应调整。</w:t>
      </w:r>
    </w:p>
    <w:p w14:paraId="2097057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甲方有权针对乙方服务及质量情况制定管理办法和考核办法，甲方严格考核，乙方严格遵守。否则甲方有权要求采取更换合适人员等措施进行整改，直到达到合同要求。拒不执行的，甲方有权单方面解除合同，因此造成的损失由乙方承担。</w:t>
      </w:r>
    </w:p>
    <w:p w14:paraId="21104AF1">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（二）乙方权利</w:t>
      </w:r>
    </w:p>
    <w:p w14:paraId="4256C88C">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1.按照合同约定履行咨询服务义务，按时提交相关咨询成果并保证质量。</w:t>
      </w:r>
    </w:p>
    <w:p w14:paraId="5DF75A73">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.乙方应恪守“独立、客观、公正”的执业原则，依法开展专业技术服务，对所出具的报告或结论的真实性、合法性、有效性负责，并接受甲方的监督和检查。</w:t>
      </w:r>
    </w:p>
    <w:p w14:paraId="5C5C15FE">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接受并积极响应甲方对所提交的各项成果文件、方案和建议修改的意见。</w:t>
      </w:r>
    </w:p>
    <w:p w14:paraId="3DC23C35">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.乙方应独立完成委托任务，不得将委托任务转包或分包，不得无故放弃委托任务，不得以任何理由中途中止服务。</w:t>
      </w:r>
    </w:p>
    <w:p w14:paraId="175C3A76">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.按合同约定收取合同价款。</w:t>
      </w:r>
    </w:p>
    <w:p w14:paraId="49F9FD37">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（三）甲方义务</w:t>
      </w:r>
    </w:p>
    <w:p w14:paraId="60F1CB9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1、甲方应执行乙方权利中约定的内容。</w:t>
      </w:r>
    </w:p>
    <w:p w14:paraId="7E5B3F1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2、协调并及时向乙方提供所需的资料。</w:t>
      </w:r>
    </w:p>
    <w:p w14:paraId="28D85BE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3、协调并为乙方派出的有关工作人员提供必要的工作条件和协助，主要事项将由乙方于外勤工作开始前提供清单。</w:t>
      </w:r>
    </w:p>
    <w:p w14:paraId="0FA3044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4、按合同约定支付服务费用。</w:t>
      </w:r>
    </w:p>
    <w:p w14:paraId="74A9A93B">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（四）乙方义务</w:t>
      </w:r>
    </w:p>
    <w:p w14:paraId="16320599">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1、乙方配合做好项目评审工作，并执行甲方权利中约定的内容。</w:t>
      </w:r>
    </w:p>
    <w:p w14:paraId="506C2E1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2、在工作执行过程中，坚持独立、客观、公正的原则进行业务咨询，认真执行有关法律和法规、行业规范，对出具的报告负有永久法律责任。</w:t>
      </w:r>
    </w:p>
    <w:p w14:paraId="72924BC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3、乙方务必与甲方就</w:t>
      </w:r>
      <w:r>
        <w:rPr>
          <w:rFonts w:hint="eastAsia" w:ascii="宋体" w:hAnsi="宋体" w:eastAsia="宋体" w:cs="宋体"/>
          <w:sz w:val="21"/>
          <w:szCs w:val="21"/>
          <w:lang w:val="en-US" w:eastAsia="zh-CN"/>
        </w:rPr>
        <w:t>项目</w:t>
      </w:r>
      <w:r>
        <w:rPr>
          <w:rFonts w:hint="eastAsia" w:ascii="宋体" w:hAnsi="宋体" w:eastAsia="宋体" w:cs="宋体"/>
          <w:sz w:val="21"/>
          <w:szCs w:val="21"/>
        </w:rPr>
        <w:t>资料进行详细的、逐件的签字备案制的交接，建立交接台账并妥善保管，乙方应在现场工作结束后，将甲方提供的全部资料3日内办理归还。若资料因乙方责任发生丢失，应视情节严重承担违约甚至违法责任。</w:t>
      </w:r>
    </w:p>
    <w:p w14:paraId="1FC111B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4、乙方在执业过程中涉及的国家秘密和甲方及被审核单位秘密，应遵守国家保密条例和有关保密协定。</w:t>
      </w:r>
    </w:p>
    <w:p w14:paraId="76013B7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、乙方须按时参加甲方组织召开的与</w:t>
      </w:r>
      <w:r>
        <w:rPr>
          <w:rFonts w:hint="eastAsia" w:ascii="宋体" w:hAnsi="宋体" w:eastAsia="宋体" w:cs="宋体"/>
          <w:sz w:val="21"/>
          <w:szCs w:val="21"/>
          <w:lang w:val="en-US" w:eastAsia="zh-CN"/>
        </w:rPr>
        <w:t>工作内容</w:t>
      </w:r>
      <w:r>
        <w:rPr>
          <w:rFonts w:hint="eastAsia" w:ascii="宋体" w:hAnsi="宋体" w:eastAsia="宋体" w:cs="宋体"/>
          <w:sz w:val="21"/>
          <w:szCs w:val="21"/>
        </w:rPr>
        <w:t>有关的会议、踏勘现场等。未按规定时间及要求参会的，按一次一千元从咨询服务费中扣除。</w:t>
      </w:r>
    </w:p>
    <w:p w14:paraId="56F025C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乙方保证，如其需要为本合同之目的而使用/引用第三方资料的行为，将在事前合法取得相关权利人的使用许可。乙方并且保证，其在本合同项下提交的工作成果不存在任何侵犯第三方合法权利（包括但不限于知识产权）的可能，否则应赔偿给甲方造成的一切损失。</w:t>
      </w:r>
    </w:p>
    <w:p w14:paraId="6E953DB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、甲方支付全部费用后不代表合同关系结束，乙方须完成与本项目咨询有关的其他工作及后续审计责任。乙方消极配合或拒绝配合工作的，视为乙方违约，乙方应按照本合同第五条第5款的约定承担违约责任。</w:t>
      </w:r>
    </w:p>
    <w:p w14:paraId="6C2FABC3">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五、违约责任</w:t>
      </w:r>
    </w:p>
    <w:p w14:paraId="411E8019">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1.甲方违反约定，不能按时提供技术资料或工作条件或提供技术资料不准确，导致乙方无法按期完成并提交咨询成果的，乙方有权按延误的时间予以顺延。</w:t>
      </w:r>
    </w:p>
    <w:p w14:paraId="04D75780">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2.甲方原因终止合同时，应及时书面通知乙方。若乙方已开展工作，甲方应按乙方实际完成的工作量支付相应的咨询费；乙方原因中途终止合同的，应及时书面通知甲方。甲方不予支付咨询费，甲方已支付的咨询费，乙方应予以返还。</w:t>
      </w:r>
    </w:p>
    <w:p w14:paraId="04E3B50C">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3.乙方未按甲方要求的时间提交咨询成果时，每逾期一日，乙方应按合同总金额的1%承担违约金；逾期超过15日的，甲方同时有权解除合同，乙方应按合同约定总金额的20%承担违约金，且无权要求甲方支付服务费。</w:t>
      </w:r>
    </w:p>
    <w:p w14:paraId="77690763">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4.乙方故意或重大过失，提供错误或不合格信息而导致甲方损失的，乙方有责任采取补救措施，甲方同时有权解除合同，乙方应按合同约定总金额的20%承担违约金，且无权要求甲方支付服务费。</w:t>
      </w:r>
    </w:p>
    <w:p w14:paraId="10B105E1">
      <w:pPr>
        <w:keepNext w:val="0"/>
        <w:keepLines w:val="0"/>
        <w:pageBreakBefore w:val="0"/>
        <w:widowControl w:val="0"/>
        <w:kinsoku/>
        <w:wordWrap/>
        <w:overflowPunct/>
        <w:topLinePunct w:val="0"/>
        <w:autoSpaceDE/>
        <w:autoSpaceDN/>
        <w:bidi w:val="0"/>
        <w:adjustRightInd/>
        <w:snapToGrid/>
        <w:spacing w:line="460" w:lineRule="exact"/>
        <w:ind w:firstLine="411" w:firstLineChars="196"/>
        <w:textAlignment w:val="auto"/>
        <w:rPr>
          <w:rFonts w:hint="eastAsia" w:ascii="宋体" w:hAnsi="宋体" w:eastAsia="宋体" w:cs="宋体"/>
          <w:sz w:val="21"/>
          <w:szCs w:val="21"/>
        </w:rPr>
      </w:pPr>
      <w:r>
        <w:rPr>
          <w:rFonts w:hint="eastAsia" w:ascii="宋体" w:hAnsi="宋体" w:eastAsia="宋体" w:cs="宋体"/>
          <w:sz w:val="21"/>
          <w:szCs w:val="21"/>
        </w:rPr>
        <w:t>六、其他</w:t>
      </w:r>
    </w:p>
    <w:p w14:paraId="5191BDD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1、在咨询过程中，如发现本合同有关事项不完善或情况发生变化需修改、补充时，双方应重新协商，签订修改、补充条款，作为本合同的附件，与本合同有同等效力。</w:t>
      </w:r>
    </w:p>
    <w:p w14:paraId="156C20D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2、本合同履行若发生争议，双方应协商解决，协商不成，向甲方所在地有管辖权的人民法院提起诉讼。</w:t>
      </w:r>
    </w:p>
    <w:p w14:paraId="64D5B397">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3、本合同自双方盖章之日起生效。本合同一式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份，甲方执</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份，乙方执</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份，具有同等法律效力。</w:t>
      </w:r>
    </w:p>
    <w:p w14:paraId="24DA9B4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p>
    <w:p w14:paraId="6E36688D">
      <w:pPr>
        <w:rPr>
          <w:rFonts w:hint="eastAsia" w:ascii="宋体" w:hAnsi="宋体" w:eastAsia="宋体" w:cs="宋体"/>
          <w:sz w:val="21"/>
          <w:szCs w:val="21"/>
        </w:rPr>
      </w:pPr>
      <w:r>
        <w:rPr>
          <w:rFonts w:hint="eastAsia" w:ascii="宋体" w:hAnsi="宋体" w:eastAsia="宋体" w:cs="宋体"/>
          <w:sz w:val="21"/>
          <w:szCs w:val="21"/>
        </w:rPr>
        <w:br w:type="page"/>
      </w:r>
    </w:p>
    <w:p w14:paraId="0C7ADBB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（以下无正文，为本合同签署页）</w:t>
      </w:r>
    </w:p>
    <w:p w14:paraId="50EB6D7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1"/>
          <w:szCs w:val="21"/>
        </w:rPr>
      </w:pPr>
    </w:p>
    <w:p w14:paraId="47610469">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甲方（盖章）：                   乙方（盖章）：   </w:t>
      </w:r>
    </w:p>
    <w:p w14:paraId="71300A7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法定代表人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法定代表人</w:t>
      </w:r>
    </w:p>
    <w:p w14:paraId="7DAB8D73">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或委托代理人</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或委托代理人</w:t>
      </w:r>
      <w:r>
        <w:rPr>
          <w:rFonts w:hint="eastAsia" w:ascii="宋体" w:hAnsi="宋体" w:eastAsia="宋体" w:cs="宋体"/>
          <w:sz w:val="21"/>
          <w:szCs w:val="21"/>
        </w:rPr>
        <w:t>：</w:t>
      </w:r>
    </w:p>
    <w:p w14:paraId="34C7FA2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1"/>
          <w:szCs w:val="21"/>
        </w:rPr>
      </w:pPr>
      <w:r>
        <w:rPr>
          <w:rFonts w:hint="eastAsia" w:ascii="宋体" w:hAnsi="宋体" w:eastAsia="宋体" w:cs="宋体"/>
          <w:sz w:val="21"/>
          <w:szCs w:val="21"/>
        </w:rPr>
        <w:t>地    址：                       地   址：</w:t>
      </w:r>
      <w:bookmarkStart w:id="0" w:name="_GoBack"/>
      <w:bookmarkEnd w:id="0"/>
    </w:p>
    <w:p w14:paraId="3AE5FE9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1"/>
          <w:szCs w:val="21"/>
        </w:rPr>
      </w:pPr>
      <w:r>
        <w:rPr>
          <w:rFonts w:hint="eastAsia" w:ascii="宋体" w:hAnsi="宋体" w:eastAsia="宋体" w:cs="宋体"/>
          <w:sz w:val="21"/>
          <w:szCs w:val="21"/>
        </w:rPr>
        <w:t>邮    编：                       邮    编：</w:t>
      </w:r>
    </w:p>
    <w:p w14:paraId="435B23C0">
      <w:pPr>
        <w:keepNext w:val="0"/>
        <w:keepLines w:val="0"/>
        <w:pageBreakBefore w:val="0"/>
        <w:widowControl w:val="0"/>
        <w:kinsoku/>
        <w:wordWrap/>
        <w:overflowPunct/>
        <w:topLinePunct w:val="0"/>
        <w:autoSpaceDE/>
        <w:autoSpaceDN/>
        <w:bidi w:val="0"/>
        <w:adjustRightInd/>
        <w:snapToGrid/>
        <w:spacing w:line="480" w:lineRule="auto"/>
        <w:ind w:left="0" w:leftChars="0" w:firstLine="3780" w:firstLineChars="1800"/>
        <w:textAlignment w:val="auto"/>
        <w:rPr>
          <w:rFonts w:hint="eastAsia" w:ascii="宋体" w:hAnsi="宋体" w:eastAsia="宋体" w:cs="宋体"/>
          <w:sz w:val="21"/>
          <w:szCs w:val="21"/>
        </w:rPr>
      </w:pPr>
      <w:r>
        <w:rPr>
          <w:rFonts w:hint="eastAsia" w:ascii="宋体" w:hAnsi="宋体" w:eastAsia="宋体" w:cs="宋体"/>
          <w:sz w:val="21"/>
          <w:szCs w:val="21"/>
        </w:rPr>
        <w:t>开户银行：</w:t>
      </w:r>
    </w:p>
    <w:p w14:paraId="4E8D453B">
      <w:pPr>
        <w:keepNext w:val="0"/>
        <w:keepLines w:val="0"/>
        <w:pageBreakBefore w:val="0"/>
        <w:widowControl w:val="0"/>
        <w:kinsoku/>
        <w:wordWrap/>
        <w:overflowPunct/>
        <w:topLinePunct w:val="0"/>
        <w:autoSpaceDE/>
        <w:autoSpaceDN/>
        <w:bidi w:val="0"/>
        <w:adjustRightInd/>
        <w:snapToGrid/>
        <w:spacing w:line="480" w:lineRule="auto"/>
        <w:ind w:left="0" w:leftChars="0" w:firstLine="3780" w:firstLineChars="1800"/>
        <w:textAlignment w:val="auto"/>
        <w:rPr>
          <w:rFonts w:hint="eastAsia" w:ascii="宋体" w:hAnsi="宋体" w:eastAsia="宋体" w:cs="宋体"/>
          <w:sz w:val="21"/>
          <w:szCs w:val="21"/>
        </w:rPr>
      </w:pPr>
      <w:r>
        <w:rPr>
          <w:rFonts w:hint="eastAsia" w:ascii="宋体" w:hAnsi="宋体" w:eastAsia="宋体" w:cs="宋体"/>
          <w:sz w:val="21"/>
          <w:szCs w:val="21"/>
        </w:rPr>
        <w:t>银行账号：</w:t>
      </w:r>
    </w:p>
    <w:p w14:paraId="4568218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日期：   年   月   日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日期：   年   月   日</w:t>
      </w:r>
    </w:p>
    <w:p w14:paraId="654271A3">
      <w:pPr>
        <w:rPr>
          <w:sz w:val="28"/>
          <w:szCs w:val="28"/>
        </w:rPr>
      </w:pPr>
    </w:p>
    <w:sectPr>
      <w:pgSz w:w="11906" w:h="16838"/>
      <w:pgMar w:top="1440" w:right="1417" w:bottom="1440"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kNGUyNzM5MmMxMDg3ZDUwOGJhM2Q1NzhlZmNhNjQifQ=="/>
  </w:docVars>
  <w:rsids>
    <w:rsidRoot w:val="1A7B0CB9"/>
    <w:rsid w:val="00172105"/>
    <w:rsid w:val="00252C6F"/>
    <w:rsid w:val="00476E41"/>
    <w:rsid w:val="004818E9"/>
    <w:rsid w:val="00502390"/>
    <w:rsid w:val="0052013D"/>
    <w:rsid w:val="00593C49"/>
    <w:rsid w:val="005B5FEE"/>
    <w:rsid w:val="005B7F13"/>
    <w:rsid w:val="0077159E"/>
    <w:rsid w:val="007C396D"/>
    <w:rsid w:val="008C7171"/>
    <w:rsid w:val="008E2D78"/>
    <w:rsid w:val="00A25764"/>
    <w:rsid w:val="00A765BC"/>
    <w:rsid w:val="00B7617C"/>
    <w:rsid w:val="00D0638C"/>
    <w:rsid w:val="00D50C06"/>
    <w:rsid w:val="00D75B72"/>
    <w:rsid w:val="00DF792B"/>
    <w:rsid w:val="00E10EB3"/>
    <w:rsid w:val="00F26AA2"/>
    <w:rsid w:val="00F73410"/>
    <w:rsid w:val="022E6257"/>
    <w:rsid w:val="02FB73C9"/>
    <w:rsid w:val="06107BD8"/>
    <w:rsid w:val="08007CAB"/>
    <w:rsid w:val="08734F42"/>
    <w:rsid w:val="0A7D1A94"/>
    <w:rsid w:val="0AFA3062"/>
    <w:rsid w:val="0C57627F"/>
    <w:rsid w:val="0EC4247E"/>
    <w:rsid w:val="10204949"/>
    <w:rsid w:val="11DA4A42"/>
    <w:rsid w:val="14960889"/>
    <w:rsid w:val="15106684"/>
    <w:rsid w:val="17E2196A"/>
    <w:rsid w:val="1A7B0CB9"/>
    <w:rsid w:val="1B72140D"/>
    <w:rsid w:val="23305359"/>
    <w:rsid w:val="23555B71"/>
    <w:rsid w:val="23FB731A"/>
    <w:rsid w:val="24DF1EF7"/>
    <w:rsid w:val="26ED762E"/>
    <w:rsid w:val="280300E4"/>
    <w:rsid w:val="2820344B"/>
    <w:rsid w:val="2AFC27DF"/>
    <w:rsid w:val="2BE9546D"/>
    <w:rsid w:val="2C51752B"/>
    <w:rsid w:val="2CD8360E"/>
    <w:rsid w:val="2E2D50D0"/>
    <w:rsid w:val="32347CEF"/>
    <w:rsid w:val="359031F2"/>
    <w:rsid w:val="35AE0031"/>
    <w:rsid w:val="35B035E1"/>
    <w:rsid w:val="374D4287"/>
    <w:rsid w:val="3750472C"/>
    <w:rsid w:val="379A5EF8"/>
    <w:rsid w:val="38792FC4"/>
    <w:rsid w:val="3A165FF4"/>
    <w:rsid w:val="3A883844"/>
    <w:rsid w:val="3B050920"/>
    <w:rsid w:val="3D987477"/>
    <w:rsid w:val="3FCA68B7"/>
    <w:rsid w:val="42B4024C"/>
    <w:rsid w:val="43C73C60"/>
    <w:rsid w:val="43E0085A"/>
    <w:rsid w:val="44C67F95"/>
    <w:rsid w:val="47E92858"/>
    <w:rsid w:val="4A733D69"/>
    <w:rsid w:val="4EC219E2"/>
    <w:rsid w:val="5028266C"/>
    <w:rsid w:val="50352BF9"/>
    <w:rsid w:val="549A67F5"/>
    <w:rsid w:val="552D6651"/>
    <w:rsid w:val="564F5062"/>
    <w:rsid w:val="570436FF"/>
    <w:rsid w:val="5A2A24B5"/>
    <w:rsid w:val="5CB348AB"/>
    <w:rsid w:val="5E9360F8"/>
    <w:rsid w:val="629E7A04"/>
    <w:rsid w:val="65A00526"/>
    <w:rsid w:val="66E50425"/>
    <w:rsid w:val="681F6994"/>
    <w:rsid w:val="69D56401"/>
    <w:rsid w:val="6A225E74"/>
    <w:rsid w:val="6AF058EB"/>
    <w:rsid w:val="6C3D1F01"/>
    <w:rsid w:val="6CD11213"/>
    <w:rsid w:val="6D3A3657"/>
    <w:rsid w:val="6F612510"/>
    <w:rsid w:val="70823F05"/>
    <w:rsid w:val="723F4D5F"/>
    <w:rsid w:val="73805861"/>
    <w:rsid w:val="738F26A7"/>
    <w:rsid w:val="74E66B14"/>
    <w:rsid w:val="765E4279"/>
    <w:rsid w:val="77F10A8D"/>
    <w:rsid w:val="79164454"/>
    <w:rsid w:val="7A413466"/>
    <w:rsid w:val="7A92795D"/>
    <w:rsid w:val="7AF53EB0"/>
    <w:rsid w:val="7D230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150"/>
      <w:jc w:val="both"/>
    </w:pPr>
    <w:rPr>
      <w:rFonts w:ascii="仿宋" w:hAnsi="仿宋" w:eastAsia="仿宋" w:cs="仿宋"/>
      <w:kern w:val="2"/>
      <w:sz w:val="28"/>
      <w:szCs w:val="28"/>
      <w:shd w:val="clear" w:color="auto" w:fill="FFFFFF"/>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1DAF2-F18E-4173-A904-DCA666E54CD2}">
  <ds:schemaRefs/>
</ds:datastoreItem>
</file>

<file path=docProps/app.xml><?xml version="1.0" encoding="utf-8"?>
<Properties xmlns="http://schemas.openxmlformats.org/officeDocument/2006/extended-properties" xmlns:vt="http://schemas.openxmlformats.org/officeDocument/2006/docPropsVTypes">
  <Template>Normal</Template>
  <Pages>5</Pages>
  <Words>3004</Words>
  <Characters>3049</Characters>
  <Lines>18</Lines>
  <Paragraphs>5</Paragraphs>
  <TotalTime>1</TotalTime>
  <ScaleCrop>false</ScaleCrop>
  <LinksUpToDate>false</LinksUpToDate>
  <CharactersWithSpaces>3267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2024-04-26T09:39:00Z</dcterms:created>
  <dc:creator>彭付妮（金石广告）18092215278</dc:creator>
  <cp:lastModifiedBy>X1023</cp:lastModifiedBy>
  <dcterms:modified xsi:type="dcterms:W3CDTF">2025-11-12T02:52:29Z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89C28D414E564FA9A68FDFBFE63AFB61_11</vt:lpwstr>
  </property>
  <property fmtid="{D5CDD505-2E9C-101B-9397-08002B2CF9AE}" pid="4" name="KSOTemplateDocerSaveRecord">
    <vt:lpwstr>eyJoZGlkIjoiYTMzMDRjNDIwZmVmZGFhNWFhZDA1NzhmYjBjZDQwOGMiLCJ1c2VySWQiOiIzMDk5MzEzMTYifQ==</vt:lpwstr>
  </property>
</Properties>
</file>