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版本号：JHZCZB20251002.2B120251114001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西安市鄠邑区甘河街道清洁取暖“水暖炕”改造项目（包2）(二次)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JHZCZB20251002.2B1</w:t>
      </w:r>
      <w:r>
        <w:br/>
      </w:r>
      <w:r>
        <w:br/>
      </w:r>
      <w:r>
        <w:br/>
      </w:r>
    </w:p>
    <w:p>
      <w:pPr>
        <w:pStyle w:val="null3"/>
        <w:jc w:val="center"/>
        <w:outlineLvl w:val="2"/>
      </w:pPr>
      <w:r>
        <w:rPr>
          <w:rFonts w:ascii="仿宋_GB2312" w:hAnsi="仿宋_GB2312" w:cs="仿宋_GB2312" w:eastAsia="仿宋_GB2312"/>
          <w:sz w:val="28"/>
          <w:b/>
        </w:rPr>
        <w:t>西安市鄠邑区甘河街道办事处</w:t>
      </w:r>
    </w:p>
    <w:p>
      <w:pPr>
        <w:pStyle w:val="null3"/>
        <w:jc w:val="center"/>
        <w:outlineLvl w:val="2"/>
      </w:pPr>
      <w:r>
        <w:rPr>
          <w:rFonts w:ascii="仿宋_GB2312" w:hAnsi="仿宋_GB2312" w:cs="仿宋_GB2312" w:eastAsia="仿宋_GB2312"/>
          <w:sz w:val="28"/>
          <w:b/>
        </w:rPr>
        <w:t>陕西嘉禾沐英项目管理有限公司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陕西嘉禾沐英项目管理有限公司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西安市鄠邑区甘河街道办事处</w:t>
      </w:r>
      <w:r>
        <w:rPr>
          <w:rFonts w:ascii="仿宋_GB2312" w:hAnsi="仿宋_GB2312" w:cs="仿宋_GB2312" w:eastAsia="仿宋_GB2312"/>
        </w:rPr>
        <w:t>委托，拟对</w:t>
      </w:r>
      <w:r>
        <w:rPr>
          <w:rFonts w:ascii="仿宋_GB2312" w:hAnsi="仿宋_GB2312" w:cs="仿宋_GB2312" w:eastAsia="仿宋_GB2312"/>
        </w:rPr>
        <w:t>西安市鄠邑区甘河街道清洁取暖“水暖炕”改造项目（包2）(二次)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JHZCZB20251002.2B1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西安市鄠邑区甘河街道清洁取暖“水暖炕”改造项目（包2）(二次)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根据全区大气污染防治工作安排，我办为辖区群众购买安装水暖炕,从而达到清洁取暖目的。本次水暖炕采购安装项目需采购水暖炕1218 套（其中神策庄村 631 套、西宋村 298 套、跃进 村 52 套、坳子村 237 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采购包1（甘河街道清洁取暖“水暖炕”改造包2）：属于专门面向小微企业采购。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 、其他组织或自然人，法人出具合 法有效的营业执照，事业法人应提供事业单位法人等证明文件，其他组织应提供合法证明文件，自然人出具身份证明：法人或者其他组织提供营业执照等证明文件， 自然人提供身份证件，供应商需在项目电子化交易系统中按要求上传相应证明文件</w:t>
      </w:r>
    </w:p>
    <w:p>
      <w:pPr>
        <w:pStyle w:val="null3"/>
      </w:pPr>
      <w:r>
        <w:rPr>
          <w:rFonts w:ascii="仿宋_GB2312" w:hAnsi="仿宋_GB2312" w:cs="仿宋_GB2312" w:eastAsia="仿宋_GB2312"/>
        </w:rPr>
        <w:t>2、法定代表人授权委托书（附法定代表人身份证复印件）及被授权委托人身份证（法定代表人参加投标须提供法定代表人身份证明书）：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p>
      <w:pPr>
        <w:pStyle w:val="null3"/>
      </w:pPr>
      <w:r>
        <w:rPr>
          <w:rFonts w:ascii="仿宋_GB2312" w:hAnsi="仿宋_GB2312" w:cs="仿宋_GB2312" w:eastAsia="仿宋_GB2312"/>
        </w:rPr>
        <w:t>3、财务状况报告：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p>
      <w:pPr>
        <w:pStyle w:val="null3"/>
      </w:pPr>
      <w:r>
        <w:rPr>
          <w:rFonts w:ascii="仿宋_GB2312" w:hAnsi="仿宋_GB2312" w:cs="仿宋_GB2312" w:eastAsia="仿宋_GB2312"/>
        </w:rPr>
        <w:t>4、税收缴纳证明：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p>
      <w:pPr>
        <w:pStyle w:val="null3"/>
      </w:pPr>
      <w:r>
        <w:rPr>
          <w:rFonts w:ascii="仿宋_GB2312" w:hAnsi="仿宋_GB2312" w:cs="仿宋_GB2312" w:eastAsia="仿宋_GB2312"/>
        </w:rPr>
        <w:t>5、社保缴纳证明：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6、书面声明：参加本次政府采购活动前3年内在经营活动中没有重大违纪的书面声明，供应商需在项目电子化交易系统中按要求上传相应证明文件并进行电子签章</w:t>
      </w:r>
    </w:p>
    <w:p>
      <w:pPr>
        <w:pStyle w:val="null3"/>
      </w:pPr>
      <w:r>
        <w:rPr>
          <w:rFonts w:ascii="仿宋_GB2312" w:hAnsi="仿宋_GB2312" w:cs="仿宋_GB2312" w:eastAsia="仿宋_GB2312"/>
        </w:rPr>
        <w:t>7、信用证明：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p>
      <w:pPr>
        <w:pStyle w:val="null3"/>
      </w:pPr>
      <w:r>
        <w:rPr>
          <w:rFonts w:ascii="仿宋_GB2312" w:hAnsi="仿宋_GB2312" w:cs="仿宋_GB2312" w:eastAsia="仿宋_GB2312"/>
        </w:rPr>
        <w:t>8、本项目专门面向中小企业采购（残疾人福利性单位、监狱企业视同小型、微型企业）：提供合法有效的中小企业声明函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西安市鄠邑区甘河街道办事处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鄠邑区甘河街道办事处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西安市鄠邑区甘河街道办事处经办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17609156208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陕西嘉禾沐英项目管理有限公司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13149188613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采购包1：609,000.00元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以中标金额作为收费基数，参照国家发改委《招标代理服务收费管理暂行办法》（计价格〔2002〕1980号）以及《关于进一步放开建设项目专项业务服务价格的通知》（发改价格〔2015〕299号）规定的标准收取执行。 2、中标单位在领取中标通知书之前，须向代理机构支付招标代理服务费。 招标代理服务费以转账或现金形式缴纳至以下账户： 名 称：陕西嘉禾沐英项目管理有限公司 帐 号：61050110066700001268 开户行：中国建设银行股份有限公司西安高新自贸区支行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西安市鄠邑区甘河街道办事处</w:t>
      </w:r>
      <w:r>
        <w:rPr>
          <w:rFonts w:ascii="仿宋_GB2312" w:hAnsi="仿宋_GB2312" w:cs="仿宋_GB2312" w:eastAsia="仿宋_GB2312"/>
        </w:rPr>
        <w:t>和</w:t>
      </w:r>
      <w:r>
        <w:rPr>
          <w:rFonts w:ascii="仿宋_GB2312" w:hAnsi="仿宋_GB2312" w:cs="仿宋_GB2312" w:eastAsia="仿宋_GB2312"/>
        </w:rPr>
        <w:t>陕西嘉禾沐英项目管理有限公司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西安市鄠邑区甘河街道办事处</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陕西嘉禾沐英项目管理有限公司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西安市鄠邑区甘河街道办事处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陕西嘉禾沐英项目管理有限公司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1）检验产品的产品合格证和相关检验检测报告，并核对产品品牌、规格、数量、技术参数是否和投标文件一致； 2）供应商将产品送至采购方指定位置，在规定时间内进行安装调试； 3）如采购方发现供应商提供的产品存在瑕疵，有权要求供应商进行换货； 供应商完成全部产品安装后，由采购人，对产品质量、数量进行验收并签字确认，出具验收单。</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陕西嘉禾沐英项目管理有限公司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联系人：王晨</w:t>
      </w:r>
    </w:p>
    <w:p>
      <w:pPr>
        <w:pStyle w:val="null3"/>
      </w:pPr>
      <w:r>
        <w:rPr>
          <w:rFonts w:ascii="仿宋_GB2312" w:hAnsi="仿宋_GB2312" w:cs="仿宋_GB2312" w:eastAsia="仿宋_GB2312"/>
        </w:rPr>
        <w:t>联系电话：13149188613</w:t>
      </w:r>
    </w:p>
    <w:p>
      <w:pPr>
        <w:pStyle w:val="null3"/>
      </w:pPr>
      <w:r>
        <w:rPr>
          <w:rFonts w:ascii="仿宋_GB2312" w:hAnsi="仿宋_GB2312" w:cs="仿宋_GB2312" w:eastAsia="仿宋_GB2312"/>
        </w:rPr>
        <w:t>地址：西安市高新区</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根据全区大气污染防治工作安排，我办为辖区群众购买安装水暖炕,从而达到清洁取暖目的。本次水暖炕采购安装项目需采购水暖炕1218 户（其中神策庄村 631 户、西宋村 298 户、跃进 村 52 户、坳子村 237 户）。</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609,000.00</w:t>
      </w:r>
    </w:p>
    <w:p>
      <w:pPr>
        <w:pStyle w:val="null3"/>
      </w:pPr>
      <w:r>
        <w:rPr>
          <w:rFonts w:ascii="仿宋_GB2312" w:hAnsi="仿宋_GB2312" w:cs="仿宋_GB2312" w:eastAsia="仿宋_GB2312"/>
        </w:rPr>
        <w:t>采购包最高限价（元）: 609,000.00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西安市鄠邑区甘河街道清洁取暖“水暖炕”改造项目包2</w:t>
            </w:r>
          </w:p>
        </w:tc>
        <w:tc>
          <w:tcPr>
            <w:tcW w:type="dxa" w:w="831"/>
          </w:tcPr>
          <w:p>
            <w:pPr>
              <w:pStyle w:val="null3"/>
              <w:jc w:val="right"/>
            </w:pPr>
            <w:r>
              <w:rPr>
                <w:rFonts w:ascii="仿宋_GB2312" w:hAnsi="仿宋_GB2312" w:cs="仿宋_GB2312" w:eastAsia="仿宋_GB2312"/>
              </w:rPr>
              <w:t>1,218.00</w:t>
            </w:r>
          </w:p>
        </w:tc>
        <w:tc>
          <w:tcPr>
            <w:tcW w:type="dxa" w:w="831"/>
          </w:tcPr>
          <w:p>
            <w:pPr>
              <w:pStyle w:val="null3"/>
              <w:jc w:val="right"/>
            </w:pPr>
            <w:r>
              <w:rPr>
                <w:rFonts w:ascii="仿宋_GB2312" w:hAnsi="仿宋_GB2312" w:cs="仿宋_GB2312" w:eastAsia="仿宋_GB2312"/>
              </w:rPr>
              <w:t>609,000.00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标的名称：西安市鄠邑区甘河街道清洁取暖“水暖炕”改造项目包2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color w:val="000000"/>
              </w:rPr>
              <w:t>1、水暖炕设备。清洁取暖“水暖炕”改造以补贴电水暖炕板产品方式进行。每个面积在3.5 ㎡以上的生物质取暖抗。选用质量合格、节能高效、安全可靠的水暖炕产品，该产品要具备抗折、抗压、耐高温、过热保护、漏电保护等安全功能。</w:t>
            </w:r>
          </w:p>
          <w:p>
            <w:pPr>
              <w:pStyle w:val="null3"/>
              <w:jc w:val="left"/>
            </w:pPr>
            <w:r>
              <w:rPr>
                <w:rFonts w:ascii="仿宋_GB2312" w:hAnsi="仿宋_GB2312" w:cs="仿宋_GB2312" w:eastAsia="仿宋_GB2312"/>
                <w:sz w:val="28"/>
                <w:color w:val="000000"/>
              </w:rPr>
              <w:t>2、改造条件。全区范围内所有焚烧式取暖炕，改造后承诺不再使用焚烧式取暖抗。</w:t>
            </w:r>
          </w:p>
          <w:p>
            <w:pPr>
              <w:pStyle w:val="null3"/>
              <w:jc w:val="left"/>
            </w:pPr>
            <w:r>
              <w:rPr>
                <w:rFonts w:ascii="仿宋_GB2312" w:hAnsi="仿宋_GB2312" w:cs="仿宋_GB2312" w:eastAsia="仿宋_GB2312"/>
                <w:sz w:val="28"/>
                <w:color w:val="000000"/>
              </w:rPr>
              <w:t>3、安装规范。“水暖炕”设备坚持质量第一，安全可靠，节能环保。主机采用PTC陶瓷水电分离加热，功率在800W-1200W之间，加热器温度可任意调节（带遥控器），最高温度设置≧60摄氏度，超静音直流水泵循环，噪声≤40分贝，水泵扬程≧1.7m ，有高温断电、断水断电、干烧漏电保护等多重功能，质保3年及以上(主机需提供出厂合格证和第三方检测报告)。炕板达到环保板材等级，表面采用铝膜工艺，板材具备高抗压、抗折、耐火、阻燃特性，厚度≧18mm，容重≧40kg/m，炕板铺设原则上以铺满炕面为标准。（炕板需提供第三方检测报告）水管采用PE-RT水暖管，壁厚≧1.5mm，折叠实验≧15000次。（水管需提供第三方检测报告）。</w:t>
            </w:r>
          </w:p>
          <w:p>
            <w:pPr>
              <w:pStyle w:val="null3"/>
              <w:jc w:val="left"/>
            </w:pPr>
            <w:r>
              <w:rPr>
                <w:rFonts w:ascii="仿宋_GB2312" w:hAnsi="仿宋_GB2312" w:cs="仿宋_GB2312" w:eastAsia="仿宋_GB2312"/>
                <w:sz w:val="28"/>
                <w:color w:val="000000"/>
              </w:rPr>
              <w:t>4、配套设施。完善清洁取暖“水暖炕” 的配套设施，如安装温控器，方便用户根据实际需求调节温度。同时，做好室内外管道的保温处理，减少热量损失。</w:t>
            </w:r>
          </w:p>
          <w:p>
            <w:pPr>
              <w:pStyle w:val="null3"/>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、样品：</w:t>
            </w:r>
          </w:p>
          <w:p>
            <w:pPr>
              <w:pStyle w:val="null3"/>
              <w:jc w:val="left"/>
            </w:pPr>
            <w:r>
              <w:rPr>
                <w:rFonts w:ascii="仿宋_GB2312" w:hAnsi="仿宋_GB2312" w:cs="仿宋_GB2312" w:eastAsia="仿宋_GB2312"/>
                <w:sz w:val="28"/>
                <w:color w:val="000000"/>
              </w:rPr>
              <w:t>5.1递交样品清单：</w:t>
            </w:r>
          </w:p>
          <w:tbl>
            <w:tblPr>
              <w:tblInd w:type="dxa" w:w="330"/>
              <w:tblBorders>
                <w:top w:val="none" w:color="000000" w:sz="4"/>
                <w:left w:val="none" w:color="000000" w:sz="4"/>
                <w:bottom w:val="none" w:color="000000" w:sz="4"/>
                <w:right w:val="none" w:color="000000" w:sz="4"/>
                <w:insideH w:val="none"/>
                <w:insideV w:val="none"/>
              </w:tblBorders>
            </w:tblPr>
            <w:tblGrid>
              <w:gridCol w:w="422"/>
              <w:gridCol w:w="580"/>
              <w:gridCol w:w="433"/>
              <w:gridCol w:w="1118"/>
            </w:tblGrid>
            <w:tr>
              <w:tc>
                <w:tcPr>
                  <w:tcW w:type="dxa" w:w="42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序号</w:t>
                  </w:r>
                </w:p>
              </w:tc>
              <w:tc>
                <w:tcPr>
                  <w:tcW w:type="dxa" w:w="5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样品</w:t>
                  </w:r>
                </w:p>
              </w:tc>
              <w:tc>
                <w:tcPr>
                  <w:tcW w:type="dxa" w:w="43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数量</w:t>
                  </w:r>
                </w:p>
              </w:tc>
              <w:tc>
                <w:tcPr>
                  <w:tcW w:type="dxa" w:w="111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样品规格</w:t>
                  </w: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1</w:t>
                  </w:r>
                </w:p>
              </w:tc>
              <w:tc>
                <w:tcPr>
                  <w:tcW w:type="dxa" w:w="5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主机</w:t>
                  </w:r>
                </w:p>
              </w:tc>
              <w:tc>
                <w:tcPr>
                  <w:tcW w:type="dxa" w:w="4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1</w:t>
                  </w:r>
                </w:p>
              </w:tc>
              <w:tc>
                <w:tcPr>
                  <w:tcW w:type="dxa" w:w="11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个</w:t>
                  </w: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2</w:t>
                  </w:r>
                </w:p>
              </w:tc>
              <w:tc>
                <w:tcPr>
                  <w:tcW w:type="dxa" w:w="5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炕板</w:t>
                  </w:r>
                </w:p>
              </w:tc>
              <w:tc>
                <w:tcPr>
                  <w:tcW w:type="dxa" w:w="4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1</w:t>
                  </w:r>
                </w:p>
              </w:tc>
              <w:tc>
                <w:tcPr>
                  <w:tcW w:type="dxa" w:w="11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20cm*20cm</w:t>
                  </w:r>
                </w:p>
              </w:tc>
            </w:tr>
            <w:tr>
              <w:tc>
                <w:tcPr>
                  <w:tcW w:type="dxa" w:w="42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3</w:t>
                  </w:r>
                </w:p>
              </w:tc>
              <w:tc>
                <w:tcPr>
                  <w:tcW w:type="dxa" w:w="5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水管</w:t>
                  </w:r>
                </w:p>
              </w:tc>
              <w:tc>
                <w:tcPr>
                  <w:tcW w:type="dxa" w:w="4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1</w:t>
                  </w:r>
                </w:p>
              </w:tc>
              <w:tc>
                <w:tcPr>
                  <w:tcW w:type="dxa" w:w="111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05" w:after="105"/>
                    <w:jc w:val="center"/>
                  </w:pPr>
                  <w:r>
                    <w:rPr>
                      <w:rFonts w:ascii="仿宋_GB2312" w:hAnsi="仿宋_GB2312" w:cs="仿宋_GB2312" w:eastAsia="仿宋_GB2312"/>
                      <w:sz w:val="28"/>
                      <w:color w:val="000000"/>
                    </w:rPr>
                    <w:t>20cm</w:t>
                  </w:r>
                </w:p>
              </w:tc>
            </w:tr>
          </w:tbl>
          <w:p>
            <w:pPr>
              <w:pStyle w:val="null3"/>
              <w:jc w:val="left"/>
            </w:pPr>
            <w:r>
              <w:rPr>
                <w:rFonts w:ascii="仿宋_GB2312" w:hAnsi="仿宋_GB2312" w:cs="仿宋_GB2312" w:eastAsia="仿宋_GB2312"/>
                <w:sz w:val="28"/>
                <w:color w:val="000000"/>
              </w:rPr>
              <w:t>5.2</w:t>
            </w:r>
            <w:r>
              <w:rPr>
                <w:rFonts w:ascii="仿宋_GB2312" w:hAnsi="仿宋_GB2312" w:cs="仿宋_GB2312" w:eastAsia="仿宋_GB2312"/>
                <w:sz w:val="28"/>
                <w:color w:val="000000"/>
              </w:rPr>
              <w:t>样品递交要求：</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）投标人应将封装好的完整投标样品在投标截止时间前送达开标地点（</w:t>
            </w:r>
            <w:r>
              <w:rPr>
                <w:rFonts w:ascii="仿宋_GB2312" w:hAnsi="仿宋_GB2312" w:cs="仿宋_GB2312" w:eastAsia="仿宋_GB2312"/>
                <w:sz w:val="28"/>
                <w:color w:val="000000"/>
              </w:rPr>
              <w:t>西安市南二环高新路西部国际广场</w:t>
            </w:r>
            <w:r>
              <w:rPr>
                <w:rFonts w:ascii="仿宋_GB2312" w:hAnsi="仿宋_GB2312" w:cs="仿宋_GB2312" w:eastAsia="仿宋_GB2312"/>
                <w:sz w:val="28"/>
                <w:color w:val="000000"/>
              </w:rPr>
              <w:t>B座28层</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）投标人递交样品时需同时提供单独的纸质样品清单；</w:t>
            </w:r>
          </w:p>
          <w:p>
            <w:pPr>
              <w:pStyle w:val="null3"/>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）样品在开标大会结束后统一封存，待采购人同意后，安排统一时间通知各投标人领取样品，中标人的样品不予退还，由采购人保存，作为供货验收标准。</w:t>
            </w:r>
          </w:p>
          <w:p>
            <w:pPr>
              <w:pStyle w:val="null3"/>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甲方有权在中标单位供货完成后任选一部分产品送至第三方检测机构进行检测，费用由中标单位承担。未达到技术清单中要求的检测数据，甲方有权提出退货并更换至合格为准，中标单位未按甲方要求退、换货物，甲方有权解除合同并追究中标单位的违约责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合同签订后1个月内完成所有货物的安装及调试。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全部采购及安装完,经验收合格后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1）检验产品的产品合格证和相关检验检测报告，并核对产品品牌、规格、数量、技术参数是否和投标文件一致； 2）供应商将产品送至采购方指定位置，在规定时间内进行安装调试； 3）如采购方发现供应商提供的产品存在瑕疵，有权要求供应商进行换货； 供应商完成全部产品安装后，由采购人，对产品质量、数量进行验收并签字确认，出具验收单。</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自所有货物验收合格之日起3年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（一）甲方的违约责任包括： 甲方无故中途退货，应向乙方支付退货部分货款[ 10 ]% 的违约金，因乙方违约及本合同另有规定的除外。 （二）乙方的违约责任包括： 1.乙方所交产品不符合本合同规定的，如果甲方同意使用，应当按质论价；如果甲方认为 不能使用的，应根据产品的具体情况，由乙方在[ 5 ]个工作日内负责包换或包修，并承担因修理、调换、运输而产生的全部费用。乙方修理和调换后的产品仍不符合合同规定的，甲方有权退货，并要求乙方按不能交货部分货款的10%承担违约金并赔偿甲方的损失。 2．乙方提前交货的，甲方接货后，仍可按合同规定的交货时间付款。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2.本项目专门面向中 小企业采购（残疾人福利性单位、监狱企业视同小型、微型企业）。 3.本项目核心产品为： / 。 提供相同品牌任一核心产品 且通过资格审查、符合性审查的不同供应商参加同一合同项下采购项目的，按一家供应商计算，评审后得分最高的同品牌供应 商获得成交人推荐资格；评审得分相同的，由评标委员会确定评审因的量化指标评审得分最高的一个供应商获得中标候选人推 荐资格，其他同品牌供应商不作为中标候选人。 4.为顺利推进政府采购电子化交易平台试点应用工作，供应商需要在线提交 所有通过电子化交易平台实施的政府采购项目的投标文件。 5.需要落实的政府采购政策：（1）《国务院办公厅关于建立政府 强制采购节能产品制度的通知》（国办发〔2007〕51号）；（2）《财政部 司法部关于政府采购支持监狱企业发展有关问题 的通知》（财库〔2014〕68号）；（3）《三部门联合发布关于促进残疾人就业政府采购政策的通知》（财库〔2017〕141；（4）《财政部 发展改革委 生态环境部 市场监管总局关于调整优化节能产品、环境标志产品政府采购执行机 制的通知》（财库〔2019〕9号）；（5）《关于运用政府采购政策支持乡村产业振兴的通知》（财库〔2021〕19号）；（6）《政府采购促进中小企业发展管理办法》（财库〔2020〕46号）；（7）陕西省财政厅关于印发《陕西省中小企业政 府采购信用融资办法》（陕财办采〔2018〕23号）；（8）《关于进一步加大政府采购支持中小企业力度的通知》（财库〔2022〕19号）；（9）《关于扩大政府采购支持绿色建材促进建筑品质提升政策实施范围的通知》（财库〔2022〕35 号）。6.供应商的投标总报价包含了人工工资、材料费、管理费、利润、税金、招标代理费、投标费用等，采购人不在单独支付任何费用，任何有选择的报价采购代理机构不予接受。凡因供应商对招标文件阅读不深、理解不透、误解、疏漏、或因市场行情了解不清造成的后果和风险均由供应商自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 、其他组织或自然人，法人出具合 法有效的营业执照，事业法人应提供事业单位法人等证明文件，其他组织应提供合法证明文件，自然人出具身份证明</w:t>
            </w:r>
          </w:p>
        </w:tc>
        <w:tc>
          <w:tcPr>
            <w:tcW w:type="dxa" w:w="3322"/>
          </w:tcPr>
          <w:p>
            <w:pPr>
              <w:pStyle w:val="null3"/>
            </w:pPr>
            <w:r>
              <w:rPr>
                <w:rFonts w:ascii="仿宋_GB2312" w:hAnsi="仿宋_GB2312" w:cs="仿宋_GB2312" w:eastAsia="仿宋_GB2312"/>
              </w:rPr>
              <w:t>法人或者其他组织提供营业执照等证明文件， 自然人提供身份证件，供应商需在项目电子化交易系统中按要求上传相应证明文件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明书），授权书需法定代表人或被授权人签字或盖章，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完整的财务审计报告（成立时间至开标时间不足一年的可提供成立后任意时段的资产负债表）或开标时间前三个月内基本账户银行出具的资信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个月（任意税种）的缴纳证明或完税证明，纳税证明或完税证明上应有代收机构或税务机关的公章或业务专用章。依法免税的供应商应提供相关文件证明；供应商需在项目电子化交易系统中按要求上传相应证明文件；</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http://zxgk.court.gov.cn/shixin/）、重大税收违法失信主体名单”的投标人；不得为中国政府采购网(http://www.ccgp.gov.cn)“政府采购严重违法失信行为记录名单”中的投标人。投标人提供“信用中国”网站、中国政府采购网的网页查询截图（此项以资格审查小组在投标截止日当天查询记录为准；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本项目专门面向中小企业采购（残疾人福利性单位、监狱企业视同小型、微型企业）</w:t>
            </w:r>
          </w:p>
        </w:tc>
        <w:tc>
          <w:tcPr>
            <w:tcW w:type="dxa" w:w="3322"/>
          </w:tcPr>
          <w:p>
            <w:pPr>
              <w:pStyle w:val="null3"/>
            </w:pPr>
            <w:r>
              <w:rPr>
                <w:rFonts w:ascii="仿宋_GB2312" w:hAnsi="仿宋_GB2312" w:cs="仿宋_GB2312" w:eastAsia="仿宋_GB2312"/>
              </w:rPr>
              <w:t>提供合法有效的中小企业声明函</w:t>
            </w:r>
          </w:p>
        </w:tc>
        <w:tc>
          <w:tcPr>
            <w:tcW w:type="dxa" w:w="1661"/>
          </w:tcPr>
          <w:p>
            <w:pPr>
              <w:pStyle w:val="null3"/>
            </w:pPr>
            <w:r>
              <w:rPr>
                <w:rFonts w:ascii="仿宋_GB2312" w:hAnsi="仿宋_GB2312" w:cs="仿宋_GB2312" w:eastAsia="仿宋_GB2312"/>
              </w:rPr>
              <w:t>残疾人福利性单位声明函 中小企业声明函 资格证明文件.docx 投标人应提交的相关资格证明材料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投标文件签署、盖章均按招标文件要求签字、盖章。</w:t>
            </w:r>
          </w:p>
        </w:tc>
        <w:tc>
          <w:tcPr>
            <w:tcW w:type="dxa" w:w="1661"/>
          </w:tcPr>
          <w:p>
            <w:pPr>
              <w:pStyle w:val="null3"/>
            </w:pPr>
            <w:r>
              <w:rPr>
                <w:rFonts w:ascii="仿宋_GB2312" w:hAnsi="仿宋_GB2312" w:cs="仿宋_GB2312" w:eastAsia="仿宋_GB2312"/>
              </w:rPr>
              <w:t>报价一览表.docx 中小企业声明函 商务应答表 资格证明文件.docx 投标人应提交的相关资格证明材料 产品技术参数表 分项报价表.docx 详细评审.docx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 定的最高限价。</w:t>
            </w:r>
          </w:p>
        </w:tc>
        <w:tc>
          <w:tcPr>
            <w:tcW w:type="dxa" w:w="1661"/>
          </w:tcPr>
          <w:p>
            <w:pPr>
              <w:pStyle w:val="null3"/>
            </w:pPr>
            <w:r>
              <w:rPr>
                <w:rFonts w:ascii="仿宋_GB2312" w:hAnsi="仿宋_GB2312" w:cs="仿宋_GB2312" w:eastAsia="仿宋_GB2312"/>
              </w:rPr>
              <w:t>报价一览表.docx 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报价一览表.docx 分项报价表.docx 投标函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产品品牌、规格、型号描述详细，性能参数满足招标文件得6分；参数每负偏离一项扣1分，扣完为止。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组织方案</w:t>
            </w:r>
          </w:p>
        </w:tc>
        <w:tc>
          <w:tcPr>
            <w:tcW w:type="dxa" w:w="2492"/>
          </w:tcPr>
          <w:p>
            <w:pPr>
              <w:pStyle w:val="null3"/>
            </w:pPr>
            <w:r>
              <w:rPr>
                <w:rFonts w:ascii="仿宋_GB2312" w:hAnsi="仿宋_GB2312" w:cs="仿宋_GB2312" w:eastAsia="仿宋_GB2312"/>
              </w:rPr>
              <w:t>项目组织实施计划完整可行，资金等保障措施可靠，具有明确的项目组织机构及实施方案： （1）交货期、项目进度安排计划及保证措施合理、科学的得5分；交货期、项目进度安排计划及保证措施基本满足要求得3分；交货期、项目进度安排计划及保证措施简单、不足得1分；未提供得0分。 （2）针对本项目提供规范化的生产及供货服务，根据方案完善程度进行评审：方案合理、架构完整、层次清楚、分级明确，满足招标文件要求，得5分；方案设计基本合理、架构基本完整、层次分级基本明确，满足招标文件要求，得3分；方案设计基本合理，架构不完整，内容有部分缺项，基本满足招标文件要求，得1分；未提供得0分。 （3）拟投入本项目的人员、车辆，安排方案合理、完善得5分；拟投入本项目的人员、车辆安排方案较合理得3分；拟投入本项目的人员车辆，安 排方案不完善得1分；未提供得0分。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供应商提供的应急方案，内容详尽、描述清晰、且应急保障方案与该项目要求贴合度高得3分； 提供的应急方案，内容较详尽、描述较清晰、且应急保障方案与该项目有部分贴合度得2分；提供的应急方案，内容、描述不清晰、不合理得1分；未提供得0分。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根据本项目特点及采购人实际需求 , 投标文件中具有明确的进度保证措施，能确保在交货安装期内完成货物的供应和安装得5分；投标文件中的进度保证措施内容描述不清晰、不合理得3分；未提供得0分。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根据供应商提供的样品进行评审： 1、主机：提供的主机材质、功能、安全保护功能齐全的得5分；主机材质、功能、安全保护功能基本满足需求得3分；未提供得0分。 2 、炕板：材质的环保等级、工艺、高抗压、抗折、耐火、阻燃特性等优的得5分；材质的环保等级、工艺、高抗压、抗折、耐火、阻燃特性等基本满足需求得3分；未提供得0分。 3、水管：水暖管的材质、折叠性能优的得5分；水暖管的材质、折叠性能基本满足需求得3分；未提供得0分。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（1）投标人在项目所属区县有售后服务机构（提供场地购买合同或租赁合同）的得5分。不具备的不得分。 （2）售后服务方案承诺：设备使用中出现故障的1小时内到达设备使用地点进行售后服务的得5分，2小时内到达的得3分，4小时内到达的得1分，其余不得分。 （3）售后服务方案承诺1年内故障机立即换新机的得5分，其余不得分。 （4）承诺在每一台设备的明显处粘贴售后服务联系方式的得3分，其余不得分。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保险</w:t>
            </w:r>
          </w:p>
        </w:tc>
        <w:tc>
          <w:tcPr>
            <w:tcW w:type="dxa" w:w="2492"/>
          </w:tcPr>
          <w:p>
            <w:pPr>
              <w:pStyle w:val="null3"/>
            </w:pPr>
            <w:r>
              <w:rPr>
                <w:rFonts w:ascii="仿宋_GB2312" w:hAnsi="仿宋_GB2312" w:cs="仿宋_GB2312" w:eastAsia="仿宋_GB2312"/>
              </w:rPr>
              <w:t>投标人提供所投设备主机的保险证明材料的得5分，其余不得分。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第三方检测报告</w:t>
            </w:r>
          </w:p>
        </w:tc>
        <w:tc>
          <w:tcPr>
            <w:tcW w:type="dxa" w:w="2492"/>
          </w:tcPr>
          <w:p>
            <w:pPr>
              <w:pStyle w:val="null3"/>
            </w:pPr>
            <w:r>
              <w:rPr>
                <w:rFonts w:ascii="仿宋_GB2312" w:hAnsi="仿宋_GB2312" w:cs="仿宋_GB2312" w:eastAsia="仿宋_GB2312"/>
              </w:rPr>
              <w:t>投标人提供所投产品的主机、炕板、水管的第三方检测报告，每提供一项得1分，满分3分。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采用低价优先法计算，即满足招标文件要求且投标报价最低的报价为评标基准价，其价格分为满分。投标报价得分＝（评标基准价/投标报 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详见附件：详细评审.docx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详见附件：水暖炕采购合同.docx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