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版本号：DLRC-2025-08420251120002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2025年甘河街道丁村粮食烘干储存一体化建设项目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DLRC-2025-084</w:t>
      </w:r>
      <w:r>
        <w:br/>
      </w:r>
      <w:r>
        <w:br/>
      </w:r>
      <w:r>
        <w:br/>
      </w:r>
    </w:p>
    <w:p>
      <w:pPr>
        <w:pStyle w:val="null3"/>
        <w:jc w:val="center"/>
        <w:outlineLvl w:val="2"/>
      </w:pPr>
      <w:r>
        <w:rPr>
          <w:rFonts w:ascii="仿宋_GB2312" w:hAnsi="仿宋_GB2312" w:cs="仿宋_GB2312" w:eastAsia="仿宋_GB2312"/>
          <w:sz w:val="28"/>
          <w:b/>
        </w:rPr>
        <w:t>西安市鄠邑区甘河街道办事处</w:t>
      </w:r>
    </w:p>
    <w:p>
      <w:pPr>
        <w:pStyle w:val="null3"/>
        <w:jc w:val="center"/>
        <w:outlineLvl w:val="2"/>
      </w:pPr>
      <w:r>
        <w:rPr>
          <w:rFonts w:ascii="仿宋_GB2312" w:hAnsi="仿宋_GB2312" w:cs="仿宋_GB2312" w:eastAsia="仿宋_GB2312"/>
          <w:sz w:val="28"/>
          <w:b/>
        </w:rPr>
        <w:t>陕西鼎立融创工程项目管理有限公司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陕西鼎立融创工程项目管理有限公司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西安市鄠邑区甘河街道办事处</w:t>
      </w:r>
      <w:r>
        <w:rPr>
          <w:rFonts w:ascii="仿宋_GB2312" w:hAnsi="仿宋_GB2312" w:cs="仿宋_GB2312" w:eastAsia="仿宋_GB2312"/>
        </w:rPr>
        <w:t>委托，拟对</w:t>
      </w:r>
      <w:r>
        <w:rPr>
          <w:rFonts w:ascii="仿宋_GB2312" w:hAnsi="仿宋_GB2312" w:cs="仿宋_GB2312" w:eastAsia="仿宋_GB2312"/>
        </w:rPr>
        <w:t>2025年甘河街道丁村粮食烘干储存一体化建设项目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DLRC-2025-084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2025年甘河街道丁村粮食烘干储存一体化建设项目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新建钢构粮食烘干及储存车间共800平方米，其中:①粮食烘干车间面积 200平方米，高度14米;②粮食储存车间面积600平方米，高度8米;③粮食烘干及储存车间场地地面硬化875平方米，厚22厘米，为C30混凝土硬化，并包含购置装载机一台，粮食输送带20米，粮食精选机一台，100吨地磅，配套设备动力电。</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采购包1（2025年甘河街道丁村粮食烘干储存一体化建设项目）：属于专门面向中小企业采购。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1、授权代表身份证或法定代表人授权书：法定代表人授权代表参加磋商的，须提供法定代表人授权书及授权代表身份证（法定代表人直接参加磋商的，须提供法定代表人身份证）</w:t>
      </w:r>
    </w:p>
    <w:p>
      <w:pPr>
        <w:pStyle w:val="null3"/>
      </w:pPr>
      <w:r>
        <w:rPr>
          <w:rFonts w:ascii="仿宋_GB2312" w:hAnsi="仿宋_GB2312" w:cs="仿宋_GB2312" w:eastAsia="仿宋_GB2312"/>
        </w:rPr>
        <w:t>2、供应商资质要求：供应商须具备建筑工程施工总承包三级及以上资质或钢结构工程专业承包三级及以上资质且具备有效期内的安全生产许可证</w:t>
      </w:r>
    </w:p>
    <w:p>
      <w:pPr>
        <w:pStyle w:val="null3"/>
      </w:pPr>
      <w:r>
        <w:rPr>
          <w:rFonts w:ascii="仿宋_GB2312" w:hAnsi="仿宋_GB2312" w:cs="仿宋_GB2312" w:eastAsia="仿宋_GB2312"/>
        </w:rPr>
        <w:t>3、拟派项目经理资质和专业要求：项目经理应具有建筑工程专业二级及以上注册建造师资格，同时具备有效的安全生产考核合格证书（B 证）且在本单位注册且无在建项目。</w:t>
      </w:r>
    </w:p>
    <w:p>
      <w:pPr>
        <w:pStyle w:val="null3"/>
      </w:pPr>
      <w:r>
        <w:rPr>
          <w:rFonts w:ascii="仿宋_GB2312" w:hAnsi="仿宋_GB2312" w:cs="仿宋_GB2312" w:eastAsia="仿宋_GB2312"/>
        </w:rPr>
        <w:t>4、单位负责人为同一人或者存在控股、管理关系的不同供应商，不得同时参加本项目采购项目：单位负责人为同一人或者存在控股、管理关系的不同供应商，不得同时参加本项目采购项目。供应商需在项目电子化交易系统中按要求填写《响应函》完成承诺并进行电子签章</w:t>
      </w:r>
    </w:p>
    <w:p>
      <w:pPr>
        <w:pStyle w:val="null3"/>
      </w:pPr>
      <w:r>
        <w:rPr>
          <w:rFonts w:ascii="仿宋_GB2312" w:hAnsi="仿宋_GB2312" w:cs="仿宋_GB2312" w:eastAsia="仿宋_GB2312"/>
        </w:rPr>
        <w:t>5、供应商信用信息：供应商未被列入“信用中国”网站（www.creditchina.gov.cn/ ）和“中国政府采购网”（http://www.ccgp.gov.cn/）失信被执行人、重大税收失信主体、政府采购严重违法失信行为记录名单。</w:t>
      </w:r>
    </w:p>
    <w:p>
      <w:pPr>
        <w:pStyle w:val="null3"/>
      </w:pPr>
      <w:r>
        <w:rPr>
          <w:rFonts w:ascii="仿宋_GB2312" w:hAnsi="仿宋_GB2312" w:cs="仿宋_GB2312" w:eastAsia="仿宋_GB2312"/>
        </w:rPr>
        <w:t>6、联合体投标：本项目不接受接受联合体投标，提供非联合体承诺书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西安市鄠邑区甘河街道办事处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西安市鄠邑区府前街甘河街道办事处</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029-84853075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陕西鼎立融创工程项目管理有限公司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陕西省西安市高新区高新路2号丽华科技大厦21层2101室D165号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19829736728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采购包1：1,295,000.00元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见国家计委颁布的《招标代理服务收费管理暂行办法》（计价格[2002]1980号）和（发改办价格[2003]857号）中工程类收费标准收取。在成交公告发出后向采购代理机构一次性交纳。 银行户名：陕西鼎立融创工程项目管理有限公司 开户银行：西安锦业路支行 账 号：1299 1201 0510 430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西安市鄠邑区甘河街道办事处</w:t>
      </w:r>
      <w:r>
        <w:rPr>
          <w:rFonts w:ascii="仿宋_GB2312" w:hAnsi="仿宋_GB2312" w:cs="仿宋_GB2312" w:eastAsia="仿宋_GB2312"/>
        </w:rPr>
        <w:t>和</w:t>
      </w:r>
      <w:r>
        <w:rPr>
          <w:rFonts w:ascii="仿宋_GB2312" w:hAnsi="仿宋_GB2312" w:cs="仿宋_GB2312" w:eastAsia="仿宋_GB2312"/>
        </w:rPr>
        <w:t>陕西鼎立融创工程项目管理有限公司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西安市鄠邑区甘河街道办事处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陕西鼎立融创工程项目管理有限公司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西安市鄠邑区甘河街道办事处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陕西鼎立融创工程项目管理有限公司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陕西鼎立融创工程项目管理有限公司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陕西鼎立融创工程项目管理有限公司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陕西鼎立融创工程项目管理有限公司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联系人：王丹</w:t>
      </w:r>
    </w:p>
    <w:p>
      <w:pPr>
        <w:pStyle w:val="null3"/>
      </w:pPr>
      <w:r>
        <w:rPr>
          <w:rFonts w:ascii="仿宋_GB2312" w:hAnsi="仿宋_GB2312" w:cs="仿宋_GB2312" w:eastAsia="仿宋_GB2312"/>
        </w:rPr>
        <w:t>联系电话：19829736728</w:t>
      </w:r>
    </w:p>
    <w:p>
      <w:pPr>
        <w:pStyle w:val="null3"/>
      </w:pPr>
      <w:r>
        <w:rPr>
          <w:rFonts w:ascii="仿宋_GB2312" w:hAnsi="仿宋_GB2312" w:cs="仿宋_GB2312" w:eastAsia="仿宋_GB2312"/>
        </w:rPr>
        <w:t>地址：陕西省西安市高新区高新路2号丽华科技大厦21层2101室D165号</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1,295,000.00</w:t>
      </w:r>
    </w:p>
    <w:p>
      <w:pPr>
        <w:pStyle w:val="null3"/>
      </w:pPr>
      <w:r>
        <w:rPr>
          <w:rFonts w:ascii="仿宋_GB2312" w:hAnsi="仿宋_GB2312" w:cs="仿宋_GB2312" w:eastAsia="仿宋_GB2312"/>
        </w:rPr>
        <w:t>采购包最高限价（元）: 1,277,122.41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1295000</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1,295,000.00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标的名称：1295000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一、工程概况</w:t>
            </w:r>
          </w:p>
          <w:p>
            <w:pPr>
              <w:pStyle w:val="null3"/>
            </w:pPr>
            <w:r>
              <w:rPr>
                <w:rFonts w:ascii="仿宋_GB2312" w:hAnsi="仿宋_GB2312" w:cs="仿宋_GB2312" w:eastAsia="仿宋_GB2312"/>
              </w:rPr>
              <w:t>1、项目名称：</w:t>
            </w:r>
            <w:r>
              <w:rPr>
                <w:rFonts w:ascii="仿宋_GB2312" w:hAnsi="仿宋_GB2312" w:cs="仿宋_GB2312" w:eastAsia="仿宋_GB2312"/>
              </w:rPr>
              <w:t>西安市鄠邑区甘河街道办事处</w:t>
            </w:r>
            <w:r>
              <w:rPr>
                <w:rFonts w:ascii="仿宋_GB2312" w:hAnsi="仿宋_GB2312" w:cs="仿宋_GB2312" w:eastAsia="仿宋_GB2312"/>
              </w:rPr>
              <w:t>2025年甘河街道丁村粮食烘干储存一体化建设项目</w:t>
            </w:r>
            <w:r>
              <w:rPr>
                <w:rFonts w:ascii="仿宋_GB2312" w:hAnsi="仿宋_GB2312" w:cs="仿宋_GB2312" w:eastAsia="仿宋_GB2312"/>
              </w:rPr>
              <w:t xml:space="preserve">  </w:t>
            </w:r>
          </w:p>
          <w:p>
            <w:pPr>
              <w:pStyle w:val="null3"/>
            </w:pPr>
            <w:r>
              <w:rPr>
                <w:rFonts w:ascii="仿宋_GB2312" w:hAnsi="仿宋_GB2312" w:cs="仿宋_GB2312" w:eastAsia="仿宋_GB2312"/>
              </w:rPr>
              <w:t>2、建设单位：</w:t>
            </w:r>
            <w:r>
              <w:rPr>
                <w:rFonts w:ascii="仿宋_GB2312" w:hAnsi="仿宋_GB2312" w:cs="仿宋_GB2312" w:eastAsia="仿宋_GB2312"/>
              </w:rPr>
              <w:t>西安市鄠邑区甘河街道办事处</w:t>
            </w:r>
          </w:p>
          <w:p>
            <w:pPr>
              <w:pStyle w:val="null3"/>
            </w:pPr>
            <w:r>
              <w:rPr>
                <w:rFonts w:ascii="仿宋_GB2312" w:hAnsi="仿宋_GB2312" w:cs="仿宋_GB2312" w:eastAsia="仿宋_GB2312"/>
              </w:rPr>
              <w:t>3、建设地点：</w:t>
            </w:r>
            <w:r>
              <w:rPr>
                <w:rFonts w:ascii="仿宋_GB2312" w:hAnsi="仿宋_GB2312" w:cs="仿宋_GB2312" w:eastAsia="仿宋_GB2312"/>
              </w:rPr>
              <w:t>鄠邑区甘河街道</w:t>
            </w:r>
          </w:p>
          <w:p>
            <w:pPr>
              <w:pStyle w:val="null3"/>
            </w:pPr>
            <w:r>
              <w:rPr>
                <w:rFonts w:ascii="仿宋_GB2312" w:hAnsi="仿宋_GB2312" w:cs="仿宋_GB2312" w:eastAsia="仿宋_GB2312"/>
              </w:rPr>
              <w:t>二、采购内容：详见工程量清单附件</w:t>
            </w:r>
          </w:p>
          <w:p>
            <w:pPr>
              <w:pStyle w:val="null3"/>
            </w:pPr>
            <w:r>
              <w:rPr>
                <w:rFonts w:ascii="仿宋_GB2312" w:hAnsi="仿宋_GB2312" w:cs="仿宋_GB2312" w:eastAsia="仿宋_GB2312"/>
              </w:rPr>
              <w:t>三</w:t>
            </w:r>
            <w:r>
              <w:rPr>
                <w:rFonts w:ascii="仿宋_GB2312" w:hAnsi="仿宋_GB2312" w:cs="仿宋_GB2312" w:eastAsia="仿宋_GB2312"/>
              </w:rPr>
              <w:t>、编制依据</w:t>
            </w:r>
          </w:p>
          <w:p>
            <w:pPr>
              <w:pStyle w:val="null3"/>
            </w:pPr>
            <w:r>
              <w:rPr>
                <w:rFonts w:ascii="仿宋_GB2312" w:hAnsi="仿宋_GB2312" w:cs="仿宋_GB2312" w:eastAsia="仿宋_GB2312"/>
              </w:rPr>
              <w:t>1、施工设计图纸、图纸答疑及建设单位补充说明等相关资料。</w:t>
            </w:r>
          </w:p>
          <w:p>
            <w:pPr>
              <w:pStyle w:val="null3"/>
            </w:pPr>
            <w:r>
              <w:rPr>
                <w:rFonts w:ascii="仿宋_GB2312" w:hAnsi="仿宋_GB2312" w:cs="仿宋_GB2312" w:eastAsia="仿宋_GB2312"/>
              </w:rPr>
              <w:t>2、陕西省建设工程工程里清单计价标准及计算标准(2025)；</w:t>
            </w:r>
          </w:p>
          <w:p>
            <w:pPr>
              <w:pStyle w:val="null3"/>
            </w:pPr>
            <w:r>
              <w:rPr>
                <w:rFonts w:ascii="仿宋_GB2312" w:hAnsi="仿宋_GB2312" w:cs="仿宋_GB2312" w:eastAsia="仿宋_GB2312"/>
              </w:rPr>
              <w:t>3、陕西省房屋建筑与装饰工程消耗量定额(2025)、陕西省通用安装工程消耗重定额(2025)、陕西市政工程消耗重定额(2025)、陕西省园林绿化工程消耗里定额(2025)、陕西省城市地下综合管廊工程消耗量定额(2025)及陕西绿色建筑工程消耗量定额(2025)；</w:t>
            </w:r>
          </w:p>
          <w:p>
            <w:pPr>
              <w:pStyle w:val="null3"/>
            </w:pPr>
            <w:r>
              <w:rPr>
                <w:rFonts w:ascii="仿宋_GB2312" w:hAnsi="仿宋_GB2312" w:cs="仿宋_GB2312" w:eastAsia="仿宋_GB2312"/>
              </w:rPr>
              <w:t>4、陕西省房屋建筑与装饰工程基价表(2025)、陕西省通用安装工程基价表(2025)、陕西省市政工程基价表(2025)、陕西省园林绿化工程基价表(2025)、陕西省园林绿化工程基价表(2025)、陕西省城市地下综合管廊工程计价表(2025)及陕西省绿色建筑工程基价表(2025)；</w:t>
            </w:r>
          </w:p>
          <w:p>
            <w:pPr>
              <w:pStyle w:val="null3"/>
            </w:pPr>
            <w:r>
              <w:rPr>
                <w:rFonts w:ascii="仿宋_GB2312" w:hAnsi="仿宋_GB2312" w:cs="仿宋_GB2312" w:eastAsia="仿宋_GB2312"/>
              </w:rPr>
              <w:t>5</w:t>
            </w:r>
            <w:r>
              <w:rPr>
                <w:rFonts w:ascii="仿宋_GB2312" w:hAnsi="仿宋_GB2312" w:cs="仿宋_GB2312" w:eastAsia="仿宋_GB2312"/>
              </w:rPr>
              <w:t>、本工程计价软件采用广联达云计价平台</w:t>
            </w:r>
            <w:r>
              <w:rPr>
                <w:rFonts w:ascii="仿宋_GB2312" w:hAnsi="仿宋_GB2312" w:cs="仿宋_GB2312" w:eastAsia="仿宋_GB2312"/>
              </w:rPr>
              <w:t>GCCP7.0版本号7.5000.23.2。</w:t>
            </w:r>
          </w:p>
          <w:p>
            <w:pPr>
              <w:pStyle w:val="null3"/>
            </w:pPr>
            <w:r>
              <w:rPr>
                <w:rFonts w:ascii="仿宋_GB2312" w:hAnsi="仿宋_GB2312" w:cs="仿宋_GB2312" w:eastAsia="仿宋_GB2312"/>
              </w:rPr>
              <w:t>四</w:t>
            </w:r>
            <w:r>
              <w:rPr>
                <w:rFonts w:ascii="仿宋_GB2312" w:hAnsi="仿宋_GB2312" w:cs="仿宋_GB2312" w:eastAsia="仿宋_GB2312"/>
              </w:rPr>
              <w:t>、其他要求</w:t>
            </w:r>
          </w:p>
          <w:p>
            <w:pPr>
              <w:pStyle w:val="null3"/>
            </w:pPr>
            <w:r>
              <w:rPr>
                <w:rFonts w:ascii="仿宋_GB2312" w:hAnsi="仿宋_GB2312" w:cs="仿宋_GB2312" w:eastAsia="仿宋_GB2312"/>
              </w:rPr>
              <w:t>1、付款方式：</w:t>
            </w:r>
            <w:r>
              <w:rPr>
                <w:rFonts w:ascii="仿宋_GB2312" w:hAnsi="仿宋_GB2312" w:cs="仿宋_GB2312" w:eastAsia="仿宋_GB2312"/>
              </w:rPr>
              <w:t>发包方提出资金拨付申请并附工程进度佐证资料，按工程进度履行资金拨付手续。合同签订开工后，支付签约合同价的30%的预付款；项目款根据施工进度支付至签约合同价的90%；项目竣工验收合格后依据《工程结算审核报告》支付至项目结算金额的97%，剩余3%在质保期结束后支付。</w:t>
            </w:r>
          </w:p>
          <w:p>
            <w:pPr>
              <w:pStyle w:val="null3"/>
            </w:pPr>
            <w:r>
              <w:rPr>
                <w:rFonts w:ascii="仿宋_GB2312" w:hAnsi="仿宋_GB2312" w:cs="仿宋_GB2312" w:eastAsia="仿宋_GB2312"/>
              </w:rPr>
              <w:t>2、工期：</w:t>
            </w:r>
            <w:r>
              <w:rPr>
                <w:rFonts w:ascii="仿宋_GB2312" w:hAnsi="仿宋_GB2312" w:cs="仿宋_GB2312" w:eastAsia="仿宋_GB2312"/>
              </w:rPr>
              <w:t>60天</w:t>
            </w:r>
          </w:p>
          <w:p>
            <w:pPr>
              <w:pStyle w:val="null3"/>
            </w:pPr>
            <w:r>
              <w:rPr>
                <w:rFonts w:ascii="仿宋_GB2312" w:hAnsi="仿宋_GB2312" w:cs="仿宋_GB2312" w:eastAsia="仿宋_GB2312"/>
              </w:rPr>
              <w:t>3、质量要求：</w:t>
            </w:r>
            <w:r>
              <w:rPr>
                <w:rFonts w:ascii="仿宋_GB2312" w:hAnsi="仿宋_GB2312" w:cs="仿宋_GB2312" w:eastAsia="仿宋_GB2312"/>
              </w:rPr>
              <w:t>质量符合</w:t>
            </w:r>
            <w:r>
              <w:rPr>
                <w:rFonts w:ascii="仿宋_GB2312" w:hAnsi="仿宋_GB2312" w:cs="仿宋_GB2312" w:eastAsia="仿宋_GB2312"/>
              </w:rPr>
              <w:t>国家现行标准或国家行政部门颁布的法律法规、规章制度</w:t>
            </w:r>
            <w:r>
              <w:rPr>
                <w:rFonts w:ascii="仿宋_GB2312" w:hAnsi="仿宋_GB2312" w:cs="仿宋_GB2312" w:eastAsia="仿宋_GB2312"/>
              </w:rPr>
              <w:t>及</w:t>
            </w:r>
            <w:r>
              <w:rPr>
                <w:rFonts w:ascii="仿宋_GB2312" w:hAnsi="仿宋_GB2312" w:cs="仿宋_GB2312" w:eastAsia="仿宋_GB2312"/>
              </w:rPr>
              <w:t>行业标准</w:t>
            </w:r>
            <w:r>
              <w:rPr>
                <w:rFonts w:ascii="仿宋_GB2312" w:hAnsi="仿宋_GB2312" w:cs="仿宋_GB2312" w:eastAsia="仿宋_GB2312"/>
              </w:rPr>
              <w:t>。</w:t>
            </w:r>
            <w:r>
              <w:rPr>
                <w:rFonts w:ascii="仿宋_GB2312" w:hAnsi="仿宋_GB2312" w:cs="仿宋_GB2312" w:eastAsia="仿宋_GB2312"/>
              </w:rPr>
              <w:t>施工完成并符合验收标准。</w:t>
            </w:r>
          </w:p>
          <w:p>
            <w:pPr>
              <w:pStyle w:val="null3"/>
            </w:pPr>
            <w:r>
              <w:rPr>
                <w:rFonts w:ascii="仿宋_GB2312" w:hAnsi="仿宋_GB2312" w:cs="仿宋_GB2312" w:eastAsia="仿宋_GB2312"/>
                <w:sz w:val="21"/>
              </w:rPr>
              <w:t>质保期：</w:t>
            </w:r>
            <w:r>
              <w:rPr>
                <w:rFonts w:ascii="仿宋_GB2312" w:hAnsi="仿宋_GB2312" w:cs="仿宋_GB2312" w:eastAsia="仿宋_GB2312"/>
                <w:sz w:val="21"/>
              </w:rPr>
              <w:t xml:space="preserve"> 1 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按照国家及行业相关标准执行。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详见采购需求。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成交供应商在成交结果发布后需提供3套纸质磋商文件（1正2副），纸质版磋商文件应与线上电子磋商文件保持一致并加盖公章。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业绩.docx 已标价工程量清单 中小企业声明函 技术服务合同条款及其他商务要求应答表 资格证明文件.docx 强制优先采购产品承诺函 响应文件封面 项目管理机构组成表 详细评审.docx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成立时间至开标时间不足一年的可提供成立后任意时段的资产负债表）或开标时间前三个月内基本账户银行出具的资信证明，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采购活动前6个月内任意一个月（任意税种）的缴纳证明或完税证明，纳税证明或完税证明上应有代收机构或税务机关的公章或业务专用章。依法免税的供应商应提供相关文件证明；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采购活动前6个月内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提供具有履行服务合同所必需的设备和专业技术能力的承诺函；</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参与的供应商须为符合政策要求的中小企业。 1、《关于政府采购支持监狱企业发展有关问题的通知》（财库〔2014〕68号）； 2、《关于促进残疾人就业政府采购政策的通知》（财库〔2017〕141号）； 3、《政府采购促进中小企业发展管理办法》（财库〔2020〕46号）； 4、《关于进一步加大政府采购支持中小企业力度的通知》（财库〔2022〕19号）； 5、《关于印发〈节能产品政府采购实施意见〉的通知》（财库〔2004〕185号）； 6、财政部、国家环保总局联合印发《关于环境标志产品政府采购实施的意见》（财库〔2006〕90号）； 7、国务院办公厅《关于建立政府强制采购节能产品制度的通知》（国办发〔2007〕51号）； 8、财政部、国家发改委、生态环境部联合印发《关于调整优化节能产品、环境标志产品政府采购执行机制的通知》（财库〔2019〕9号）； 9、《关于印发环境标志产品政府采购品目清单的通知》（财库〔2019〕18号）； 10、《关于印发节能产品政府采购品目清单的通知》（财库〔2019〕19号）； 11、《财政部 农业农村部 国家乡村振兴局关于运用政府采购政策支持乡村产业振兴的通知》（财库〔2021〕19 号）； 12、陕西省财政厅关于印发《陕西省中小企业政府采购信用融资办法》（陕财办采〔2018〕23 号）； 13、《陕西省财政厅关于加快推进我省中小企业政府采购信用融资工作的通知》（陕财办采〔2020〕15 号）； 14、其他需要落实的政府采购政策，如有最新颁布的政府采购政策，按最新的文件执行。</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授权代表身份证或法定代表人授权书</w:t>
            </w:r>
          </w:p>
        </w:tc>
        <w:tc>
          <w:tcPr>
            <w:tcW w:type="dxa" w:w="3322"/>
          </w:tcPr>
          <w:p>
            <w:pPr>
              <w:pStyle w:val="null3"/>
            </w:pPr>
            <w:r>
              <w:rPr>
                <w:rFonts w:ascii="仿宋_GB2312" w:hAnsi="仿宋_GB2312" w:cs="仿宋_GB2312" w:eastAsia="仿宋_GB2312"/>
              </w:rPr>
              <w:t>法定代表人授权代表参加磋商的，须提供法定代表人授权书及授权代表身份证（法定代表人直接参加磋商的，须提供法定代表人身份证）</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供应商须具备建筑工程施工总承包三级及以上资质或钢结构工程专业承包三级及以上资质且具备有效期内的安全生产许可证</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项目经理应具有建筑工程专业二级及以上注册建造师资格，同时具备有效的安全生产考核合格证书（B 证）且在本单位注册且无在建项目。</w:t>
            </w:r>
          </w:p>
        </w:tc>
        <w:tc>
          <w:tcPr>
            <w:tcW w:type="dxa" w:w="1661"/>
          </w:tcPr>
          <w:p>
            <w:pPr>
              <w:pStyle w:val="null3"/>
            </w:pPr>
            <w:r>
              <w:rPr>
                <w:rFonts w:ascii="仿宋_GB2312" w:hAnsi="仿宋_GB2312" w:cs="仿宋_GB2312" w:eastAsia="仿宋_GB2312"/>
              </w:rPr>
              <w:t>项目管理机构组成表 项目管理机构人员表.docx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单位负责人为同一人或者存在控股、管理关系的不同供应商，不得同时参加本项目采购项目</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单位负责人为同一人或者存在控股、管理关系的不同供应商，不得同时参加本项目采购项目。供应商需在项目电子化交易系统中按要求填写《响应函》完成承诺并进行电子签章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供应商未被列入“信用中国”网站（www.creditchina.gov.cn/ ）和“中国政府采购网”（http://www.ccgp.gov.cn/）失信被执行人、重大税收失信主体、政府采购严重违法失信行为记录名单。</w:t>
            </w:r>
          </w:p>
        </w:tc>
        <w:tc>
          <w:tcPr>
            <w:tcW w:type="dxa" w:w="1661"/>
          </w:tcPr>
          <w:p>
            <w:pPr>
              <w:pStyle w:val="null3"/>
            </w:pPr>
            <w:r>
              <w:rPr>
                <w:rFonts w:ascii="仿宋_GB2312" w:hAnsi="仿宋_GB2312" w:cs="仿宋_GB2312" w:eastAsia="仿宋_GB2312"/>
              </w:rPr>
              <w:t>项目管理机构组成表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本项目不接受接受联合体投标，提供非联合体承诺书</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工期要求完全响应</w:t>
            </w:r>
          </w:p>
        </w:tc>
        <w:tc>
          <w:tcPr>
            <w:tcW w:type="dxa" w:w="1661"/>
          </w:tcPr>
          <w:p>
            <w:pPr>
              <w:pStyle w:val="null3"/>
            </w:pPr>
            <w:r>
              <w:rPr>
                <w:rFonts w:ascii="仿宋_GB2312" w:hAnsi="仿宋_GB2312" w:cs="仿宋_GB2312" w:eastAsia="仿宋_GB2312"/>
              </w:rPr>
              <w:t>响应文件封面 报价函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付款方式及项目质保期</w:t>
            </w:r>
          </w:p>
        </w:tc>
        <w:tc>
          <w:tcPr>
            <w:tcW w:type="dxa" w:w="3322"/>
          </w:tcPr>
          <w:p>
            <w:pPr>
              <w:pStyle w:val="null3"/>
            </w:pPr>
            <w:r>
              <w:rPr>
                <w:rFonts w:ascii="仿宋_GB2312" w:hAnsi="仿宋_GB2312" w:cs="仿宋_GB2312" w:eastAsia="仿宋_GB2312"/>
              </w:rPr>
              <w:t>付款方式及项目质保期完全响应</w:t>
            </w:r>
          </w:p>
        </w:tc>
        <w:tc>
          <w:tcPr>
            <w:tcW w:type="dxa" w:w="1661"/>
          </w:tcPr>
          <w:p>
            <w:pPr>
              <w:pStyle w:val="null3"/>
            </w:pPr>
            <w:r>
              <w:rPr>
                <w:rFonts w:ascii="仿宋_GB2312" w:hAnsi="仿宋_GB2312" w:cs="仿宋_GB2312" w:eastAsia="仿宋_GB2312"/>
              </w:rPr>
              <w:t>响应文件封面 技术服务合同条款及其他商务要求应答表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响应文件的签字盖章合格</w:t>
            </w:r>
          </w:p>
        </w:tc>
        <w:tc>
          <w:tcPr>
            <w:tcW w:type="dxa" w:w="1661"/>
          </w:tcPr>
          <w:p>
            <w:pPr>
              <w:pStyle w:val="null3"/>
            </w:pPr>
            <w:r>
              <w:rPr>
                <w:rFonts w:ascii="仿宋_GB2312" w:hAnsi="仿宋_GB2312" w:cs="仿宋_GB2312" w:eastAsia="仿宋_GB2312"/>
              </w:rPr>
              <w:t>业绩.docx 已标价工程量清单 中小企业声明函 技术服务合同条款及其他商务要求应答表 资格证明文件.docx 强制优先采购产品承诺函 响应文件封面 项目管理机构组成表 详细评审.docx 项目管理机构人员表.docx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报价未超预算或最高限价</w:t>
            </w:r>
          </w:p>
        </w:tc>
        <w:tc>
          <w:tcPr>
            <w:tcW w:type="dxa" w:w="1661"/>
          </w:tcPr>
          <w:p>
            <w:pPr>
              <w:pStyle w:val="null3"/>
            </w:pPr>
            <w:r>
              <w:rPr>
                <w:rFonts w:ascii="仿宋_GB2312" w:hAnsi="仿宋_GB2312" w:cs="仿宋_GB2312" w:eastAsia="仿宋_GB2312"/>
              </w:rPr>
              <w:t>已标价工程量清单 报价函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供应商针对本项目编制完善的施工方案，内容包含：①施工目标；②施工准备；③施工布置与安排。 二、 评审标准 1、完整性：方案必须全面，对评审内容中的各项要求有详细描述； 2、可实施性：切合本项目实际情况，提出步骤清晰、合理的方案； 3、针对性：方案能够紧扣项目实际情况，内容科学合理。 三、 赋分标准（满分15分） 上述3项评审内容全部满足评审标准得15分，每有一个评审内容缺项扣5分，每有一项评审内容存在缺陷，扣0.01-4.99分，扣完为止。 说明：缺陷是指措施内容没有结合项目实际需求、虽有内容但不完善、内容表述前后不一致、套用其他项目方案或与项目内容需求不匹配及其他不利于项目实施的等任意一种情形。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一、评审内容 供应商针对本项目编制完善的施工质量保证措施，内容包含：①质量目标管理体系；②确保质量的技术组织措施；③施工质量控制措施。 二、 评审标准 1、完整性：方案必须全面，对评审内容中的各项要求有详细描述； 2、可实施性：切合本项目实际情况，提出步骤清晰、合理的方案； 3、针对性：方案能够紧扣项目实际情况，内容科学合理。 三、赋分标准（满分6分） 上述3项评审内容全部满足评审标准得6分，每有一个评审内容缺项扣2分，每有一项评审内容存在缺陷，扣0.01-1.99分，扣完为止。 说明：缺陷是指措施内容没有结合项目实际需求、虽有内容但不完善、内容表述前后不一致、套用其他项目方案或与项目内容需求不匹配及其他不利于项目实施的等任意一种情形。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 二、评审标准 1、完整性：方案必须全面，对评审内容中的各项要求有详细描述； 2、可实施性：切合本项目实际情况，提出步骤清晰、合理的方案； 3、针对性：方案能够紧扣项目实际情况，内容科学合理。 三、赋分标准（满分10分）上述2项评审内容全部满足评审标准得10分，每有一个评审内容缺项扣5分，每有一项评审内容存在缺陷，扣0.01-4.99分，扣完为止。 说明：缺陷是指措施内容没有结合项目实际需求、虽有内容但不完善、内容表述前后不一致、套用其他项目方案或与项目内容需求不匹配及其他不利于项目实施的等任意一种情形。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施工进度计划及工期保证措施</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供应商针对本项目编制完善的施工进度计划，内容包含：①施工进度计划保证措施；②工期保证措施；③违约责任承诺。 二、评审标准 1、完整性：方案必须全面，对评审内容中的各项要求有详细描述； 2、可实施性：切合本项目实际情况，提出步骤清晰、合理的方案； 3、针对性：方案能够紧扣项目实际情况，内容科学合理。 三、赋分标准（满分6分） 上述3项评审内容全部满足评审标准得6分，每有一个评审内容缺项扣2分，每有一项评审内容存在缺陷，扣0.01-1.99分，扣完为止。 说明：缺陷是指措施内容没有结合项目实际需求、虽有内容但不完善、内容表述前后不一致、套用其他项目方案或与项目内容需求不匹配及其他不利于项目实施的等任意一种情形。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一、评审内容 供应商针对本项目编制完整的文明施工措施，内容包含：①文明施工管理目标及技术措施；②文明施工现场管理措施；③环境保护措施。 二、评审标准 1、完整性：方案必须全面，对评审内容中的各项要求有详细描述； 2、可实施性：切合本项目实际情况，提出步骤清晰、合理的方案； 3、针对性：方案能够紧扣项目实际情况，内容科学合理。 三、赋分标准（满分6分）上述3项评审内容全部满足评审标准得6分，每有一个评审内容缺项扣2分，每有一项评审内容存在缺陷，扣0.01-1.99分，扣完为止。 说明：缺陷是指措施内容没有结合项目实际需求、虽有内容但不完善、内容表述前后不一致、套用其他项目方案或与项目内容需求不匹配及其他不利于项目实施的等任意一种情形。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项目管理机构及劳动力安排计划</w:t>
            </w:r>
          </w:p>
        </w:tc>
        <w:tc>
          <w:tcPr>
            <w:tcW w:type="dxa" w:w="2492"/>
          </w:tcPr>
          <w:p>
            <w:pPr>
              <w:pStyle w:val="null3"/>
            </w:pPr>
            <w:r>
              <w:rPr>
                <w:rFonts w:ascii="仿宋_GB2312" w:hAnsi="仿宋_GB2312" w:cs="仿宋_GB2312" w:eastAsia="仿宋_GB2312"/>
              </w:rPr>
              <w:t>一、评审内容 供应商针对本项目编制科学的项目管理机构及劳动力安排计划，内容包含：①管理机构的配备计划；②组织机构的岗位职责；③劳动力安排计划。 二、 评审标准 1、完整性：方案必须全面，对评审内容中的各项要求有详细描述； 2、可实施性：切合本项目实际情况，提出步骤清晰、合理的方案； 3、针对性：方案能够紧扣项目实际情况，内容科学合理。 三、赋分标准（满分6分）上述3项评审内容全部满足评审标准得6分，每有一个评审内容缺项扣2分，每有一项评审内容存在缺陷，扣0.01-1.99分，扣完为止。 说明：缺陷是指措施内容没有结合项目实际需求、虽有内容但不完善、内容表述前后不一致、套用其他项目方案或与项目内容需求不匹配及其他不利于项目实施的等任意一种情形。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突发事件处理预案措施</w:t>
            </w:r>
          </w:p>
        </w:tc>
        <w:tc>
          <w:tcPr>
            <w:tcW w:type="dxa" w:w="2492"/>
          </w:tcPr>
          <w:p>
            <w:pPr>
              <w:pStyle w:val="null3"/>
            </w:pPr>
            <w:r>
              <w:rPr>
                <w:rFonts w:ascii="仿宋_GB2312" w:hAnsi="仿宋_GB2312" w:cs="仿宋_GB2312" w:eastAsia="仿宋_GB2312"/>
              </w:rPr>
              <w:t>一、评审内容 供应商针对本项目编制的突发事件处理预案措施，内容包含：①恶劣天气影响、自然灾害预案措施；②政府性重大活动，重大节假日预案措施。 二、评审标准 1、完整性：方案必须全面，对评审内容中的各项要求有详细描述； 2、可实施性：切合本项目实际情况，提出步骤清晰、合理的方案； 3、针对性：方案能够紧扣项目实际情况，内容科学合理。 三、赋分标准（满分6分） 上述2项评审内容全部满足评审标准得6分，每有一个评审内容缺项扣3分，每有一项评审内容存在缺陷，扣0.01-2.99分，扣完为止。 说明：缺陷是指措施内容没有结合项目实际需求、虽有内容但不完善、内容表述前后不一致、套用其他项目方案或与项目内容需求不匹配及其他不利于项目实施的等任意一种情形。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维护方案</w:t>
            </w:r>
          </w:p>
        </w:tc>
        <w:tc>
          <w:tcPr>
            <w:tcW w:type="dxa" w:w="2492"/>
          </w:tcPr>
          <w:p>
            <w:pPr>
              <w:pStyle w:val="null3"/>
            </w:pPr>
            <w:r>
              <w:rPr>
                <w:rFonts w:ascii="仿宋_GB2312" w:hAnsi="仿宋_GB2312" w:cs="仿宋_GB2312" w:eastAsia="仿宋_GB2312"/>
              </w:rPr>
              <w:t>一、评审内容 结合本项目的实际，供应商应依据国家相关规定提出工程维护方案，内容包含：①维护方案；②保修责任及保修承诺。 二、评审标准 1、完整性：内容必须全面，对评审内容中的各项要求有详细描述； 2、落实性：切合项目具体情况，提出责任明确、要求具体的方案； 3、针对性：内容能够紧扣项目实际情况，内容科学合理。 三、赋分标准（满分6分）上述2项评审内容全部满足评审标准得6分，每有一个评审内容缺项扣3分，每有一项评审内容存在缺陷，扣0.01-2.99分，扣完为止。 说明：缺陷是指措施内容没有结合项目实际需求、虽有内容但不完善、内容表述前后不一致、套用其他项目方案或与项目内容需求不匹配及其他不利于项目实施的等任意一种情形。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供应商须提供2022年11月1日至今的类似项目业绩，每提供一项得3分，最高不超过9分。（以加盖公章的合同复印件为准）。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满足磋商文件要求且最后的磋商报价最低的磋商价为评审基准价，其价格分为满分。 磋商报价得分=（评审基准价/磋商报价）×30。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详见附件：详细评审.docx</w:t>
      </w:r>
    </w:p>
    <w:p>
      <w:pPr>
        <w:pStyle w:val="null3"/>
        <w:ind w:firstLine="960"/>
      </w:pPr>
      <w:r>
        <w:rPr>
          <w:rFonts w:ascii="仿宋_GB2312" w:hAnsi="仿宋_GB2312" w:cs="仿宋_GB2312" w:eastAsia="仿宋_GB2312"/>
        </w:rPr>
        <w:t>详见附件：项目管理机构人员表.docx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