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DCF9A">
      <w:pPr>
        <w:pStyle w:val="2"/>
        <w:bidi w:val="0"/>
        <w:rPr>
          <w:rFonts w:hint="eastAsia"/>
          <w:sz w:val="40"/>
          <w:szCs w:val="40"/>
        </w:rPr>
      </w:pPr>
      <w:r>
        <w:rPr>
          <w:rFonts w:hint="eastAsia"/>
          <w:sz w:val="40"/>
          <w:szCs w:val="40"/>
        </w:rPr>
        <w:t xml:space="preserve"> 合同范本</w:t>
      </w:r>
    </w:p>
    <w:p w14:paraId="018E8C27">
      <w:pPr>
        <w:spacing w:line="360" w:lineRule="auto"/>
        <w:jc w:val="center"/>
        <w:rPr>
          <w:rFonts w:hint="eastAsia" w:ascii="宋体" w:hAnsi="宋体" w:cs="宋体"/>
          <w:sz w:val="28"/>
          <w:szCs w:val="28"/>
        </w:rPr>
      </w:pPr>
      <w:r>
        <w:rPr>
          <w:rFonts w:hint="eastAsia" w:ascii="宋体" w:hAnsi="宋体" w:cs="宋体"/>
          <w:b/>
          <w:sz w:val="28"/>
          <w:szCs w:val="28"/>
        </w:rPr>
        <w:t>（本合同仅为制式模板）</w:t>
      </w:r>
    </w:p>
    <w:p w14:paraId="5CFB68E5">
      <w:pPr>
        <w:pStyle w:val="8"/>
        <w:spacing w:line="360" w:lineRule="auto"/>
        <w:ind w:firstLine="0" w:firstLineChars="0"/>
        <w:rPr>
          <w:rFonts w:hint="eastAsia" w:ascii="宋体" w:hAnsi="宋体"/>
          <w:sz w:val="28"/>
          <w:szCs w:val="28"/>
        </w:rPr>
      </w:pPr>
      <w:r>
        <w:rPr>
          <w:rFonts w:hint="eastAsia" w:ascii="宋体" w:hAnsi="宋体"/>
          <w:sz w:val="28"/>
          <w:szCs w:val="28"/>
        </w:rPr>
        <w:t>一、服务合同格式</w:t>
      </w:r>
    </w:p>
    <w:p w14:paraId="17EA3405">
      <w:pPr>
        <w:pStyle w:val="8"/>
        <w:spacing w:line="360" w:lineRule="auto"/>
        <w:ind w:firstLine="560"/>
        <w:rPr>
          <w:rFonts w:hint="eastAsia" w:ascii="宋体" w:hAnsi="宋体"/>
          <w:sz w:val="28"/>
          <w:szCs w:val="28"/>
        </w:rPr>
      </w:pPr>
      <w:r>
        <w:rPr>
          <w:rFonts w:hint="eastAsia" w:ascii="宋体" w:hAnsi="宋体"/>
          <w:sz w:val="28"/>
          <w:szCs w:val="28"/>
        </w:rPr>
        <w:t xml:space="preserve">合同编号： </w:t>
      </w:r>
    </w:p>
    <w:p w14:paraId="2A788594">
      <w:pPr>
        <w:pStyle w:val="8"/>
        <w:spacing w:line="360" w:lineRule="auto"/>
        <w:ind w:firstLine="560"/>
        <w:rPr>
          <w:rFonts w:hint="eastAsia" w:ascii="宋体" w:hAnsi="宋体"/>
          <w:sz w:val="28"/>
          <w:szCs w:val="28"/>
        </w:rPr>
      </w:pPr>
      <w:r>
        <w:rPr>
          <w:rFonts w:hint="eastAsia" w:ascii="宋体" w:hAnsi="宋体"/>
          <w:sz w:val="28"/>
          <w:szCs w:val="28"/>
        </w:rPr>
        <w:t xml:space="preserve">签订地点： </w:t>
      </w:r>
    </w:p>
    <w:p w14:paraId="037745F7">
      <w:pPr>
        <w:pStyle w:val="8"/>
        <w:spacing w:line="360" w:lineRule="auto"/>
        <w:ind w:firstLine="560"/>
        <w:rPr>
          <w:rFonts w:hint="eastAsia" w:ascii="宋体" w:hAnsi="宋体"/>
          <w:sz w:val="28"/>
          <w:szCs w:val="28"/>
        </w:rPr>
      </w:pPr>
      <w:r>
        <w:rPr>
          <w:rFonts w:hint="eastAsia" w:ascii="宋体" w:hAnsi="宋体"/>
          <w:sz w:val="28"/>
          <w:szCs w:val="28"/>
        </w:rPr>
        <w:t xml:space="preserve">签订时间: </w:t>
      </w:r>
    </w:p>
    <w:p w14:paraId="155DFCE3">
      <w:pPr>
        <w:pStyle w:val="8"/>
        <w:spacing w:line="360" w:lineRule="auto"/>
        <w:ind w:firstLine="560"/>
        <w:rPr>
          <w:rFonts w:hint="eastAsia" w:ascii="宋体" w:hAnsi="宋体"/>
          <w:sz w:val="28"/>
          <w:szCs w:val="28"/>
        </w:rPr>
      </w:pPr>
      <w:r>
        <w:rPr>
          <w:rFonts w:hint="eastAsia" w:ascii="宋体" w:hAnsi="宋体"/>
          <w:sz w:val="28"/>
          <w:szCs w:val="28"/>
        </w:rPr>
        <w:t>采购人（甲方）：</w:t>
      </w:r>
    </w:p>
    <w:p w14:paraId="379570DB">
      <w:pPr>
        <w:pStyle w:val="8"/>
        <w:spacing w:line="360" w:lineRule="auto"/>
        <w:ind w:firstLine="560"/>
        <w:rPr>
          <w:rFonts w:hint="eastAsia" w:ascii="宋体" w:hAnsi="宋体"/>
          <w:sz w:val="28"/>
          <w:szCs w:val="28"/>
        </w:rPr>
      </w:pPr>
      <w:r>
        <w:rPr>
          <w:rFonts w:hint="eastAsia" w:ascii="宋体" w:hAnsi="宋体"/>
          <w:sz w:val="28"/>
          <w:szCs w:val="28"/>
        </w:rPr>
        <w:t>供应商（乙方）：</w:t>
      </w:r>
    </w:p>
    <w:p w14:paraId="44E07592">
      <w:pPr>
        <w:pStyle w:val="8"/>
        <w:spacing w:line="360" w:lineRule="auto"/>
        <w:ind w:firstLine="560"/>
        <w:rPr>
          <w:rFonts w:hint="eastAsia" w:ascii="宋体" w:hAnsi="宋体"/>
          <w:sz w:val="28"/>
          <w:szCs w:val="28"/>
        </w:rPr>
      </w:pPr>
      <w:r>
        <w:rPr>
          <w:rFonts w:hint="eastAsia" w:ascii="宋体" w:hAnsi="宋体"/>
          <w:sz w:val="28"/>
          <w:szCs w:val="28"/>
        </w:rPr>
        <w:t>根据《中华人民共和国政府采购法》、《政府采购竞争性磋商采购方式管理暂行办法》（财库[2014]214号）及其实施条例、《中华人民共和国民法典》</w:t>
      </w:r>
      <w:r>
        <w:rPr>
          <w:rFonts w:hint="eastAsia" w:ascii="宋体" w:hAnsi="宋体"/>
          <w:sz w:val="28"/>
          <w:szCs w:val="28"/>
          <w:highlight w:val="none"/>
        </w:rPr>
        <w:t>和甲方（采购项目：</w:t>
      </w:r>
      <w:r>
        <w:rPr>
          <w:rFonts w:hint="eastAsia" w:ascii="宋体" w:hAnsi="宋体"/>
          <w:sz w:val="28"/>
          <w:szCs w:val="28"/>
          <w:highlight w:val="none"/>
          <w:lang w:val="en-US" w:eastAsia="zh-CN"/>
        </w:rPr>
        <w:t xml:space="preserve">      </w:t>
      </w:r>
      <w:r>
        <w:rPr>
          <w:rFonts w:hint="eastAsia" w:ascii="宋体" w:hAnsi="宋体"/>
          <w:sz w:val="28"/>
          <w:szCs w:val="28"/>
          <w:highlight w:val="none"/>
        </w:rPr>
        <w:t>）的竞争性磋商文件、竞争性磋商</w:t>
      </w:r>
      <w:r>
        <w:rPr>
          <w:rFonts w:hint="eastAsia" w:ascii="宋体" w:hAnsi="宋体"/>
          <w:sz w:val="28"/>
          <w:szCs w:val="28"/>
        </w:rPr>
        <w:t>响应文件等有关规定，为确保甲方采购项目的顺利实施，甲、乙双方在平等自愿原则下签订本合同，并共同遵守如下条款：</w:t>
      </w:r>
    </w:p>
    <w:p w14:paraId="577635BB">
      <w:pPr>
        <w:numPr>
          <w:ilvl w:val="0"/>
          <w:numId w:val="1"/>
        </w:numPr>
        <w:spacing w:line="360" w:lineRule="auto"/>
        <w:rPr>
          <w:rFonts w:hint="eastAsia" w:ascii="宋体" w:hAnsi="宋体" w:cs="宋体"/>
          <w:b/>
          <w:sz w:val="28"/>
          <w:szCs w:val="28"/>
        </w:rPr>
      </w:pPr>
      <w:r>
        <w:rPr>
          <w:rFonts w:hint="eastAsia" w:ascii="宋体" w:hAnsi="宋体" w:cs="宋体"/>
          <w:b/>
          <w:sz w:val="28"/>
          <w:szCs w:val="28"/>
        </w:rPr>
        <w:t>合同期限</w:t>
      </w:r>
    </w:p>
    <w:p w14:paraId="5ED9839F">
      <w:pPr>
        <w:pStyle w:val="9"/>
        <w:spacing w:line="360" w:lineRule="auto"/>
        <w:ind w:left="17" w:leftChars="6" w:firstLine="789" w:firstLineChars="278"/>
        <w:rPr>
          <w:rFonts w:hint="eastAsia"/>
          <w:sz w:val="28"/>
          <w:szCs w:val="28"/>
          <w:lang w:val="zh-CN"/>
        </w:rPr>
      </w:pPr>
      <w:bookmarkStart w:id="0" w:name="_Toc225244852"/>
      <w:bookmarkStart w:id="1" w:name="_Toc237145406"/>
      <w:bookmarkStart w:id="2" w:name="_Toc232492928"/>
      <w:bookmarkStart w:id="3" w:name="_Toc286993786"/>
      <w:bookmarkStart w:id="4" w:name="_Toc238984975"/>
      <w:bookmarkStart w:id="5" w:name="_Toc241833903"/>
      <w:bookmarkStart w:id="6" w:name="_Toc212019594"/>
      <w:bookmarkStart w:id="7" w:name="_Toc185395249"/>
      <w:bookmarkStart w:id="8" w:name="_Toc247334841"/>
      <w:bookmarkStart w:id="9" w:name="_Toc239568418"/>
      <w:bookmarkStart w:id="10" w:name="_Toc239233914"/>
      <w:bookmarkStart w:id="11" w:name="_Toc211911348"/>
      <w:bookmarkStart w:id="12" w:name="_Toc282696226"/>
      <w:bookmarkStart w:id="13" w:name="_Toc225670751"/>
      <w:bookmarkStart w:id="14" w:name="_Toc211854449"/>
      <w:bookmarkStart w:id="15" w:name="_Toc251768862"/>
      <w:bookmarkStart w:id="16" w:name="_Toc225654644"/>
      <w:bookmarkStart w:id="17" w:name="_Toc283019214"/>
      <w:r>
        <w:rPr>
          <w:rFonts w:hint="eastAsia"/>
          <w:spacing w:val="2"/>
          <w:sz w:val="28"/>
          <w:szCs w:val="28"/>
        </w:rPr>
        <w:t>在规定时间内（</w:t>
      </w:r>
      <w:r>
        <w:rPr>
          <w:rFonts w:hint="eastAsia"/>
          <w:spacing w:val="2"/>
          <w:sz w:val="28"/>
          <w:szCs w:val="28"/>
          <w:lang w:eastAsia="zh-CN"/>
        </w:rPr>
        <w:t>服务期</w:t>
      </w:r>
      <w:r>
        <w:rPr>
          <w:rFonts w:hint="eastAsia"/>
          <w:spacing w:val="2"/>
          <w:sz w:val="28"/>
          <w:szCs w:val="28"/>
        </w:rPr>
        <w:t>限：  ）完成甲方要求服务（           ）并验收合格。</w:t>
      </w:r>
    </w:p>
    <w:p w14:paraId="22EAF19F">
      <w:pPr>
        <w:numPr>
          <w:ilvl w:val="0"/>
          <w:numId w:val="1"/>
        </w:numPr>
        <w:spacing w:line="360" w:lineRule="auto"/>
        <w:rPr>
          <w:rFonts w:hint="eastAsia" w:ascii="宋体" w:hAnsi="宋体" w:cs="宋体"/>
          <w:b/>
          <w:sz w:val="28"/>
          <w:szCs w:val="28"/>
        </w:rPr>
      </w:pPr>
      <w:r>
        <w:rPr>
          <w:rFonts w:hint="eastAsia" w:ascii="宋体" w:hAnsi="宋体" w:cs="宋体"/>
          <w:b/>
          <w:sz w:val="28"/>
          <w:szCs w:val="28"/>
        </w:rPr>
        <w:t>服务内容与质量标准</w:t>
      </w:r>
    </w:p>
    <w:tbl>
      <w:tblPr>
        <w:tblStyle w:val="6"/>
        <w:tblW w:w="9502" w:type="dxa"/>
        <w:jc w:val="center"/>
        <w:tblLayout w:type="fixed"/>
        <w:tblCellMar>
          <w:top w:w="0" w:type="dxa"/>
          <w:left w:w="0" w:type="dxa"/>
          <w:bottom w:w="0" w:type="dxa"/>
          <w:right w:w="0" w:type="dxa"/>
        </w:tblCellMar>
      </w:tblPr>
      <w:tblGrid>
        <w:gridCol w:w="756"/>
        <w:gridCol w:w="1558"/>
        <w:gridCol w:w="2811"/>
        <w:gridCol w:w="1112"/>
        <w:gridCol w:w="1200"/>
        <w:gridCol w:w="2065"/>
      </w:tblGrid>
      <w:tr w14:paraId="0B00A12C">
        <w:tblPrEx>
          <w:tblCellMar>
            <w:top w:w="0" w:type="dxa"/>
            <w:left w:w="0" w:type="dxa"/>
            <w:bottom w:w="0" w:type="dxa"/>
            <w:right w:w="0" w:type="dxa"/>
          </w:tblCellMar>
        </w:tblPrEx>
        <w:trPr>
          <w:trHeight w:val="1268" w:hRule="exact"/>
          <w:jc w:val="center"/>
        </w:trPr>
        <w:tc>
          <w:tcPr>
            <w:tcW w:w="756" w:type="dxa"/>
            <w:tcBorders>
              <w:top w:val="single" w:color="000000" w:sz="4" w:space="0"/>
              <w:left w:val="single" w:color="000000" w:sz="4" w:space="0"/>
              <w:bottom w:val="single" w:color="000000" w:sz="4" w:space="0"/>
              <w:right w:val="single" w:color="000000" w:sz="4" w:space="0"/>
            </w:tcBorders>
            <w:vAlign w:val="center"/>
          </w:tcPr>
          <w:p w14:paraId="67610629">
            <w:pPr>
              <w:pStyle w:val="10"/>
              <w:spacing w:line="360" w:lineRule="auto"/>
              <w:jc w:val="center"/>
              <w:rPr>
                <w:rFonts w:hint="eastAsia" w:ascii="宋体" w:hAnsi="宋体" w:cs="宋体"/>
                <w:sz w:val="28"/>
                <w:szCs w:val="28"/>
              </w:rPr>
            </w:pPr>
            <w:r>
              <w:rPr>
                <w:rFonts w:hint="eastAsia" w:ascii="宋体" w:hAnsi="宋体" w:cs="宋体"/>
                <w:sz w:val="28"/>
                <w:szCs w:val="28"/>
              </w:rPr>
              <w:t>序号</w:t>
            </w:r>
          </w:p>
        </w:tc>
        <w:tc>
          <w:tcPr>
            <w:tcW w:w="1558" w:type="dxa"/>
            <w:tcBorders>
              <w:top w:val="single" w:color="000000" w:sz="4" w:space="0"/>
              <w:left w:val="single" w:color="000000" w:sz="4" w:space="0"/>
              <w:bottom w:val="single" w:color="000000" w:sz="4" w:space="0"/>
              <w:right w:val="single" w:color="000000" w:sz="4" w:space="0"/>
            </w:tcBorders>
            <w:vAlign w:val="center"/>
          </w:tcPr>
          <w:p w14:paraId="12EE38CC">
            <w:pPr>
              <w:pStyle w:val="10"/>
              <w:spacing w:line="360" w:lineRule="auto"/>
              <w:jc w:val="center"/>
              <w:rPr>
                <w:rFonts w:hint="eastAsia" w:ascii="宋体" w:hAnsi="宋体" w:cs="宋体"/>
                <w:sz w:val="28"/>
                <w:szCs w:val="28"/>
              </w:rPr>
            </w:pPr>
            <w:r>
              <w:rPr>
                <w:rFonts w:hint="eastAsia" w:ascii="宋体" w:hAnsi="宋体" w:cs="宋体"/>
                <w:sz w:val="28"/>
                <w:szCs w:val="28"/>
              </w:rPr>
              <w:t>采购项目</w:t>
            </w:r>
          </w:p>
        </w:tc>
        <w:tc>
          <w:tcPr>
            <w:tcW w:w="2811" w:type="dxa"/>
            <w:tcBorders>
              <w:top w:val="single" w:color="000000" w:sz="4" w:space="0"/>
              <w:left w:val="single" w:color="000000" w:sz="4" w:space="0"/>
              <w:bottom w:val="single" w:color="000000" w:sz="4" w:space="0"/>
              <w:right w:val="single" w:color="000000" w:sz="4" w:space="0"/>
            </w:tcBorders>
            <w:vAlign w:val="center"/>
          </w:tcPr>
          <w:p w14:paraId="2E8AE84F">
            <w:pPr>
              <w:pStyle w:val="10"/>
              <w:spacing w:line="360" w:lineRule="auto"/>
              <w:jc w:val="center"/>
              <w:rPr>
                <w:rFonts w:hint="eastAsia" w:ascii="宋体" w:hAnsi="宋体" w:cs="宋体"/>
                <w:sz w:val="28"/>
                <w:szCs w:val="28"/>
              </w:rPr>
            </w:pPr>
            <w:r>
              <w:rPr>
                <w:rFonts w:hint="eastAsia" w:ascii="宋体" w:hAnsi="宋体" w:cs="宋体"/>
                <w:sz w:val="28"/>
                <w:szCs w:val="28"/>
              </w:rPr>
              <w:t>技术及要求</w:t>
            </w:r>
          </w:p>
        </w:tc>
        <w:tc>
          <w:tcPr>
            <w:tcW w:w="1112" w:type="dxa"/>
            <w:tcBorders>
              <w:top w:val="single" w:color="000000" w:sz="4" w:space="0"/>
              <w:left w:val="single" w:color="000000" w:sz="4" w:space="0"/>
              <w:bottom w:val="single" w:color="000000" w:sz="4" w:space="0"/>
              <w:right w:val="single" w:color="000000" w:sz="4" w:space="0"/>
            </w:tcBorders>
            <w:vAlign w:val="center"/>
          </w:tcPr>
          <w:p w14:paraId="25EACAA7">
            <w:pPr>
              <w:pStyle w:val="10"/>
              <w:spacing w:line="360" w:lineRule="auto"/>
              <w:jc w:val="center"/>
              <w:rPr>
                <w:rFonts w:hint="eastAsia" w:ascii="宋体" w:hAnsi="宋体" w:cs="宋体"/>
                <w:sz w:val="28"/>
                <w:szCs w:val="28"/>
              </w:rPr>
            </w:pPr>
            <w:r>
              <w:rPr>
                <w:rFonts w:hint="eastAsia" w:ascii="宋体" w:hAnsi="宋体" w:cs="宋体"/>
                <w:sz w:val="28"/>
                <w:szCs w:val="28"/>
              </w:rPr>
              <w:t>单位</w:t>
            </w:r>
          </w:p>
        </w:tc>
        <w:tc>
          <w:tcPr>
            <w:tcW w:w="1200" w:type="dxa"/>
            <w:tcBorders>
              <w:top w:val="single" w:color="000000" w:sz="4" w:space="0"/>
              <w:left w:val="single" w:color="000000" w:sz="4" w:space="0"/>
              <w:bottom w:val="single" w:color="000000" w:sz="4" w:space="0"/>
              <w:right w:val="single" w:color="000000" w:sz="4" w:space="0"/>
            </w:tcBorders>
            <w:vAlign w:val="center"/>
          </w:tcPr>
          <w:p w14:paraId="227279DF">
            <w:pPr>
              <w:pStyle w:val="10"/>
              <w:spacing w:line="360" w:lineRule="auto"/>
              <w:jc w:val="center"/>
              <w:rPr>
                <w:rFonts w:hint="eastAsia" w:ascii="宋体" w:hAnsi="宋体" w:cs="宋体"/>
                <w:sz w:val="28"/>
                <w:szCs w:val="28"/>
              </w:rPr>
            </w:pPr>
            <w:r>
              <w:rPr>
                <w:rFonts w:hint="eastAsia" w:ascii="宋体" w:hAnsi="宋体" w:cs="宋体"/>
                <w:sz w:val="28"/>
                <w:szCs w:val="28"/>
              </w:rPr>
              <w:t>数量</w:t>
            </w:r>
          </w:p>
        </w:tc>
        <w:tc>
          <w:tcPr>
            <w:tcW w:w="2065" w:type="dxa"/>
            <w:tcBorders>
              <w:top w:val="single" w:color="000000" w:sz="4" w:space="0"/>
              <w:left w:val="single" w:color="000000" w:sz="4" w:space="0"/>
              <w:bottom w:val="single" w:color="000000" w:sz="4" w:space="0"/>
              <w:right w:val="single" w:color="000000" w:sz="4" w:space="0"/>
            </w:tcBorders>
            <w:vAlign w:val="center"/>
          </w:tcPr>
          <w:p w14:paraId="28A6729F">
            <w:pPr>
              <w:pStyle w:val="10"/>
              <w:spacing w:line="360" w:lineRule="auto"/>
              <w:jc w:val="center"/>
              <w:rPr>
                <w:rFonts w:hint="eastAsia" w:ascii="宋体" w:hAnsi="宋体" w:cs="宋体"/>
                <w:sz w:val="28"/>
                <w:szCs w:val="28"/>
              </w:rPr>
            </w:pPr>
            <w:r>
              <w:rPr>
                <w:rFonts w:hint="eastAsia" w:ascii="宋体" w:hAnsi="宋体" w:cs="宋体"/>
                <w:sz w:val="28"/>
                <w:szCs w:val="28"/>
              </w:rPr>
              <w:t>合价        （元）</w:t>
            </w:r>
          </w:p>
          <w:p w14:paraId="332FC3C5">
            <w:pPr>
              <w:pStyle w:val="10"/>
              <w:spacing w:line="360" w:lineRule="auto"/>
              <w:ind w:left="2"/>
              <w:jc w:val="center"/>
              <w:rPr>
                <w:rFonts w:hint="eastAsia" w:ascii="宋体" w:hAnsi="宋体" w:cs="宋体"/>
                <w:sz w:val="28"/>
                <w:szCs w:val="28"/>
              </w:rPr>
            </w:pPr>
          </w:p>
        </w:tc>
      </w:tr>
      <w:tr w14:paraId="5934231A">
        <w:tblPrEx>
          <w:tblCellMar>
            <w:top w:w="0" w:type="dxa"/>
            <w:left w:w="0" w:type="dxa"/>
            <w:bottom w:w="0" w:type="dxa"/>
            <w:right w:w="0" w:type="dxa"/>
          </w:tblCellMar>
        </w:tblPrEx>
        <w:trPr>
          <w:trHeight w:val="947" w:hRule="exact"/>
          <w:jc w:val="center"/>
        </w:trPr>
        <w:tc>
          <w:tcPr>
            <w:tcW w:w="756" w:type="dxa"/>
            <w:tcBorders>
              <w:top w:val="single" w:color="000000" w:sz="4" w:space="0"/>
              <w:left w:val="single" w:color="000000" w:sz="4" w:space="0"/>
              <w:bottom w:val="single" w:color="000000" w:sz="4" w:space="0"/>
              <w:right w:val="single" w:color="000000" w:sz="4" w:space="0"/>
            </w:tcBorders>
            <w:vAlign w:val="top"/>
          </w:tcPr>
          <w:p w14:paraId="7244BB9E">
            <w:pPr>
              <w:pStyle w:val="10"/>
              <w:spacing w:line="360" w:lineRule="auto"/>
              <w:jc w:val="center"/>
              <w:rPr>
                <w:rFonts w:hint="eastAsia" w:ascii="宋体" w:hAnsi="宋体" w:cs="宋体"/>
                <w:sz w:val="28"/>
                <w:szCs w:val="28"/>
              </w:rPr>
            </w:pPr>
          </w:p>
        </w:tc>
        <w:tc>
          <w:tcPr>
            <w:tcW w:w="1558" w:type="dxa"/>
            <w:tcBorders>
              <w:top w:val="single" w:color="000000" w:sz="4" w:space="0"/>
              <w:left w:val="single" w:color="000000" w:sz="4" w:space="0"/>
              <w:bottom w:val="single" w:color="000000" w:sz="4" w:space="0"/>
              <w:right w:val="single" w:color="000000" w:sz="4" w:space="0"/>
            </w:tcBorders>
            <w:vAlign w:val="top"/>
          </w:tcPr>
          <w:p w14:paraId="4F8A2A32">
            <w:pPr>
              <w:pStyle w:val="10"/>
              <w:spacing w:line="360" w:lineRule="auto"/>
              <w:jc w:val="center"/>
              <w:rPr>
                <w:rFonts w:hint="eastAsia" w:ascii="宋体" w:hAnsi="宋体" w:cs="宋体"/>
                <w:sz w:val="28"/>
                <w:szCs w:val="28"/>
              </w:rPr>
            </w:pPr>
          </w:p>
        </w:tc>
        <w:tc>
          <w:tcPr>
            <w:tcW w:w="2811" w:type="dxa"/>
            <w:tcBorders>
              <w:top w:val="single" w:color="000000" w:sz="4" w:space="0"/>
              <w:left w:val="single" w:color="000000" w:sz="4" w:space="0"/>
              <w:bottom w:val="single" w:color="000000" w:sz="4" w:space="0"/>
              <w:right w:val="single" w:color="000000" w:sz="4" w:space="0"/>
            </w:tcBorders>
            <w:vAlign w:val="top"/>
          </w:tcPr>
          <w:p w14:paraId="1AF77378">
            <w:pPr>
              <w:pStyle w:val="10"/>
              <w:spacing w:line="360" w:lineRule="auto"/>
              <w:ind w:left="103" w:right="-5"/>
              <w:rPr>
                <w:rFonts w:hint="eastAsia" w:ascii="宋体" w:hAnsi="宋体" w:cs="宋体"/>
                <w:sz w:val="28"/>
                <w:szCs w:val="28"/>
              </w:rPr>
            </w:pPr>
          </w:p>
        </w:tc>
        <w:tc>
          <w:tcPr>
            <w:tcW w:w="1112" w:type="dxa"/>
            <w:tcBorders>
              <w:top w:val="single" w:color="000000" w:sz="4" w:space="0"/>
              <w:left w:val="single" w:color="000000" w:sz="4" w:space="0"/>
              <w:bottom w:val="single" w:color="000000" w:sz="4" w:space="0"/>
              <w:right w:val="single" w:color="000000" w:sz="4" w:space="0"/>
            </w:tcBorders>
            <w:vAlign w:val="top"/>
          </w:tcPr>
          <w:p w14:paraId="0861C15D">
            <w:pPr>
              <w:pStyle w:val="10"/>
              <w:spacing w:line="360" w:lineRule="auto"/>
              <w:jc w:val="center"/>
              <w:rPr>
                <w:rFonts w:hint="eastAsia" w:ascii="宋体" w:hAnsi="宋体" w:cs="宋体"/>
                <w:sz w:val="28"/>
                <w:szCs w:val="28"/>
              </w:rPr>
            </w:pPr>
          </w:p>
        </w:tc>
        <w:tc>
          <w:tcPr>
            <w:tcW w:w="1200" w:type="dxa"/>
            <w:tcBorders>
              <w:top w:val="single" w:color="000000" w:sz="4" w:space="0"/>
              <w:left w:val="single" w:color="000000" w:sz="4" w:space="0"/>
              <w:bottom w:val="single" w:color="000000" w:sz="4" w:space="0"/>
              <w:right w:val="single" w:color="000000" w:sz="4" w:space="0"/>
            </w:tcBorders>
            <w:vAlign w:val="top"/>
          </w:tcPr>
          <w:p w14:paraId="2669D477">
            <w:pPr>
              <w:pStyle w:val="10"/>
              <w:spacing w:line="360" w:lineRule="auto"/>
              <w:ind w:left="4"/>
              <w:jc w:val="center"/>
              <w:rPr>
                <w:rFonts w:hint="eastAsia" w:ascii="宋体" w:hAnsi="宋体" w:cs="宋体"/>
                <w:sz w:val="28"/>
                <w:szCs w:val="28"/>
              </w:rPr>
            </w:pPr>
          </w:p>
        </w:tc>
        <w:tc>
          <w:tcPr>
            <w:tcW w:w="2065" w:type="dxa"/>
            <w:tcBorders>
              <w:top w:val="single" w:color="000000" w:sz="4" w:space="0"/>
              <w:left w:val="single" w:color="000000" w:sz="4" w:space="0"/>
              <w:bottom w:val="single" w:color="000000" w:sz="4" w:space="0"/>
              <w:right w:val="single" w:color="000000" w:sz="4" w:space="0"/>
            </w:tcBorders>
            <w:vAlign w:val="top"/>
          </w:tcPr>
          <w:p w14:paraId="5430094C">
            <w:pPr>
              <w:spacing w:line="360" w:lineRule="auto"/>
              <w:rPr>
                <w:rFonts w:hint="eastAsia" w:ascii="宋体" w:hAnsi="宋体" w:cs="宋体"/>
                <w:sz w:val="28"/>
                <w:szCs w:val="28"/>
              </w:rPr>
            </w:pPr>
          </w:p>
        </w:tc>
      </w:tr>
    </w:tbl>
    <w:p w14:paraId="16029B4D">
      <w:pPr>
        <w:numPr>
          <w:ilvl w:val="0"/>
          <w:numId w:val="1"/>
        </w:numPr>
        <w:spacing w:line="360" w:lineRule="auto"/>
        <w:rPr>
          <w:rFonts w:hint="eastAsia" w:ascii="宋体" w:hAnsi="宋体" w:cs="宋体"/>
          <w:b/>
          <w:color w:val="000000"/>
          <w:sz w:val="28"/>
          <w:szCs w:val="28"/>
        </w:rPr>
      </w:pPr>
      <w:r>
        <w:rPr>
          <w:rFonts w:hint="eastAsia" w:ascii="宋体" w:hAnsi="宋体" w:cs="宋体"/>
          <w:b/>
          <w:color w:val="000000"/>
          <w:sz w:val="28"/>
          <w:szCs w:val="28"/>
        </w:rPr>
        <w:t>服务费用</w:t>
      </w:r>
    </w:p>
    <w:p w14:paraId="7187F58A">
      <w:pPr>
        <w:pStyle w:val="8"/>
        <w:spacing w:line="360" w:lineRule="auto"/>
        <w:ind w:firstLine="512" w:firstLineChars="183"/>
        <w:rPr>
          <w:rFonts w:hint="eastAsia" w:ascii="宋体" w:hAnsi="宋体"/>
          <w:color w:val="000000"/>
          <w:sz w:val="28"/>
          <w:szCs w:val="28"/>
        </w:rPr>
      </w:pPr>
      <w:r>
        <w:rPr>
          <w:rFonts w:hint="eastAsia" w:ascii="宋体" w:hAnsi="宋体"/>
          <w:color w:val="000000"/>
          <w:sz w:val="28"/>
          <w:szCs w:val="28"/>
        </w:rPr>
        <w:t>1、报价：</w:t>
      </w:r>
      <w:r>
        <w:rPr>
          <w:rFonts w:hint="eastAsia" w:ascii="宋体" w:hAnsi="宋体"/>
          <w:color w:val="000000"/>
          <w:sz w:val="28"/>
          <w:szCs w:val="28"/>
          <w:u w:val="single"/>
        </w:rPr>
        <w:t xml:space="preserve">            </w:t>
      </w:r>
      <w:r>
        <w:rPr>
          <w:rFonts w:hint="eastAsia" w:ascii="宋体" w:hAnsi="宋体"/>
          <w:color w:val="000000"/>
          <w:sz w:val="28"/>
          <w:szCs w:val="28"/>
        </w:rPr>
        <w:t>元。</w:t>
      </w:r>
    </w:p>
    <w:p w14:paraId="0810D401">
      <w:pPr>
        <w:pStyle w:val="8"/>
        <w:spacing w:line="360" w:lineRule="auto"/>
        <w:ind w:firstLine="512" w:firstLineChars="183"/>
        <w:rPr>
          <w:rFonts w:hint="eastAsia" w:ascii="宋体" w:hAnsi="宋体"/>
          <w:color w:val="000000"/>
          <w:sz w:val="28"/>
          <w:szCs w:val="28"/>
        </w:rPr>
      </w:pPr>
      <w:r>
        <w:rPr>
          <w:rFonts w:hint="eastAsia" w:ascii="宋体" w:hAnsi="宋体"/>
          <w:color w:val="000000"/>
          <w:sz w:val="28"/>
          <w:szCs w:val="28"/>
        </w:rPr>
        <w:t>2、本合同执行期间服务总费用不变，甲方无须另向乙方支付本合同规定之外的其他任何费用。</w:t>
      </w:r>
    </w:p>
    <w:p w14:paraId="2BCF85A4">
      <w:pPr>
        <w:adjustRightInd w:val="0"/>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第四条  付款方式 </w:t>
      </w:r>
    </w:p>
    <w:p w14:paraId="186815B6">
      <w:pPr>
        <w:spacing w:line="360" w:lineRule="auto"/>
        <w:ind w:firstLine="560" w:firstLineChars="200"/>
        <w:rPr>
          <w:rFonts w:hint="eastAsia" w:ascii="宋体" w:hAnsi="宋体" w:eastAsia="宋体" w:cs="宋体"/>
          <w:lang w:eastAsia="zh-CN"/>
        </w:rPr>
      </w:pPr>
      <w:r>
        <w:rPr>
          <w:rFonts w:hint="eastAsia" w:ascii="宋体" w:hAnsi="宋体" w:cs="宋体"/>
          <w:color w:val="000000"/>
          <w:sz w:val="28"/>
          <w:szCs w:val="28"/>
        </w:rPr>
        <w:t>签订合同时成交单位与采购方协商而定</w:t>
      </w:r>
      <w:r>
        <w:rPr>
          <w:rFonts w:hint="eastAsia" w:ascii="宋体" w:hAnsi="宋体" w:cs="宋体"/>
          <w:lang w:eastAsia="zh-CN"/>
        </w:rPr>
        <w:t>。</w:t>
      </w:r>
    </w:p>
    <w:p w14:paraId="1696F68F">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第五条   知识产权 </w:t>
      </w:r>
    </w:p>
    <w:p w14:paraId="3998B423">
      <w:pPr>
        <w:tabs>
          <w:tab w:val="left" w:pos="1440"/>
        </w:tabs>
        <w:spacing w:line="360" w:lineRule="auto"/>
        <w:ind w:firstLine="560" w:firstLineChars="200"/>
        <w:rPr>
          <w:rFonts w:hint="eastAsia" w:ascii="宋体" w:hAnsi="宋体" w:cs="宋体"/>
          <w:sz w:val="28"/>
          <w:szCs w:val="28"/>
        </w:rPr>
      </w:pPr>
      <w:r>
        <w:rPr>
          <w:rFonts w:hint="eastAsia" w:ascii="宋体" w:hAnsi="宋体" w:cs="宋体"/>
          <w:sz w:val="28"/>
          <w:szCs w:val="28"/>
        </w:rPr>
        <w:t>乙方应保证所提供的服务或其任何一部分均不会侵犯任何第三方的专利权、商标权或著作权。</w:t>
      </w:r>
    </w:p>
    <w:p w14:paraId="636767E0">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第六条  无产权瑕疵条款 </w:t>
      </w:r>
    </w:p>
    <w:p w14:paraId="3A2C0D32">
      <w:pPr>
        <w:tabs>
          <w:tab w:val="left" w:pos="1440"/>
        </w:tabs>
        <w:spacing w:line="360" w:lineRule="auto"/>
        <w:ind w:firstLine="560" w:firstLineChars="200"/>
        <w:rPr>
          <w:rFonts w:hint="eastAsia" w:ascii="宋体" w:hAnsi="宋体" w:cs="宋体"/>
          <w:sz w:val="28"/>
          <w:szCs w:val="28"/>
        </w:rPr>
      </w:pPr>
      <w:r>
        <w:rPr>
          <w:rFonts w:hint="eastAsia" w:ascii="宋体" w:hAnsi="宋体" w:cs="宋体"/>
          <w:sz w:val="28"/>
          <w:szCs w:val="28"/>
        </w:rPr>
        <w:t>乙方保证所提供的服务的所有权完全属于乙方且无任何抵押、查封等产权瑕疵。如有产权瑕疵的，视为乙方违约。乙方应负担由此而产生的一切损失。</w:t>
      </w:r>
    </w:p>
    <w:p w14:paraId="75FF05C6">
      <w:pPr>
        <w:widowControl/>
        <w:spacing w:line="360" w:lineRule="auto"/>
        <w:ind w:firstLine="562" w:firstLineChars="200"/>
        <w:jc w:val="left"/>
        <w:rPr>
          <w:rFonts w:hint="eastAsia" w:ascii="宋体" w:hAnsi="宋体" w:cs="宋体"/>
          <w:b/>
          <w:sz w:val="28"/>
          <w:szCs w:val="28"/>
        </w:rPr>
      </w:pPr>
      <w:r>
        <w:rPr>
          <w:rFonts w:hint="eastAsia" w:ascii="宋体" w:hAnsi="宋体" w:cs="宋体"/>
          <w:b/>
          <w:sz w:val="28"/>
          <w:szCs w:val="28"/>
        </w:rPr>
        <w:t>第七条  履约保证金</w:t>
      </w:r>
    </w:p>
    <w:p w14:paraId="7B3DDD12">
      <w:pPr>
        <w:widowControl/>
        <w:spacing w:line="360" w:lineRule="auto"/>
        <w:ind w:firstLine="560" w:firstLineChars="200"/>
        <w:jc w:val="left"/>
        <w:rPr>
          <w:rFonts w:hint="eastAsia" w:ascii="宋体" w:hAnsi="宋体" w:cs="宋体"/>
          <w:b/>
          <w:sz w:val="28"/>
          <w:szCs w:val="28"/>
        </w:rPr>
      </w:pPr>
      <w:r>
        <w:rPr>
          <w:rFonts w:hint="eastAsia" w:ascii="宋体" w:hAnsi="宋体" w:cs="宋体"/>
          <w:kern w:val="0"/>
          <w:sz w:val="28"/>
          <w:szCs w:val="28"/>
        </w:rPr>
        <w:t>1、乙方在签订本合同之前，向甲方提交履约保证金人民币</w:t>
      </w:r>
      <w:r>
        <w:rPr>
          <w:rFonts w:hint="eastAsia" w:ascii="宋体" w:hAnsi="宋体" w:cs="宋体"/>
          <w:kern w:val="0"/>
          <w:sz w:val="28"/>
          <w:szCs w:val="28"/>
          <w:u w:val="single"/>
        </w:rPr>
        <w:t xml:space="preserve">/ </w:t>
      </w:r>
      <w:r>
        <w:rPr>
          <w:rFonts w:hint="eastAsia" w:ascii="宋体" w:hAnsi="宋体" w:cs="宋体"/>
          <w:kern w:val="0"/>
          <w:sz w:val="28"/>
          <w:szCs w:val="28"/>
        </w:rPr>
        <w:t>元，￥</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元。</w:t>
      </w:r>
    </w:p>
    <w:p w14:paraId="723D59F7">
      <w:pPr>
        <w:widowControl/>
        <w:spacing w:line="360" w:lineRule="auto"/>
        <w:ind w:firstLine="560" w:firstLineChars="200"/>
        <w:jc w:val="left"/>
        <w:rPr>
          <w:rFonts w:hint="eastAsia" w:ascii="宋体" w:hAnsi="宋体" w:cs="宋体"/>
          <w:kern w:val="0"/>
          <w:sz w:val="28"/>
          <w:szCs w:val="28"/>
        </w:rPr>
      </w:pPr>
      <w:r>
        <w:rPr>
          <w:rFonts w:hint="eastAsia" w:ascii="宋体" w:hAnsi="宋体" w:cs="宋体"/>
          <w:bCs/>
          <w:sz w:val="28"/>
          <w:szCs w:val="28"/>
        </w:rPr>
        <w:t>2、</w:t>
      </w:r>
      <w:r>
        <w:rPr>
          <w:rFonts w:hint="eastAsia" w:ascii="宋体" w:hAnsi="宋体" w:cs="宋体"/>
          <w:kern w:val="0"/>
          <w:sz w:val="28"/>
          <w:szCs w:val="28"/>
        </w:rPr>
        <w:t>履约保证金的有效期为乙方承诺的</w:t>
      </w:r>
      <w:r>
        <w:rPr>
          <w:rFonts w:hint="eastAsia" w:ascii="宋体" w:hAnsi="宋体" w:cs="宋体"/>
          <w:kern w:val="0"/>
          <w:sz w:val="28"/>
          <w:szCs w:val="28"/>
          <w:lang w:eastAsia="zh-CN"/>
        </w:rPr>
        <w:t>服务期</w:t>
      </w:r>
      <w:r>
        <w:rPr>
          <w:rFonts w:hint="eastAsia" w:ascii="宋体" w:hAnsi="宋体" w:cs="宋体"/>
          <w:kern w:val="0"/>
          <w:sz w:val="28"/>
          <w:szCs w:val="28"/>
        </w:rPr>
        <w:t>限。</w:t>
      </w:r>
    </w:p>
    <w:p w14:paraId="056C3621">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3、履约保证金作为违约金的一部分及用于补偿甲方因乙方不能履行合同义务而蒙受的损失。</w:t>
      </w:r>
    </w:p>
    <w:p w14:paraId="0BA55632">
      <w:pPr>
        <w:widowControl/>
        <w:spacing w:line="360" w:lineRule="auto"/>
        <w:ind w:firstLine="560" w:firstLineChars="200"/>
        <w:jc w:val="left"/>
        <w:rPr>
          <w:rFonts w:hint="eastAsia" w:ascii="宋体" w:hAnsi="宋体" w:cs="宋体"/>
          <w:sz w:val="28"/>
          <w:szCs w:val="28"/>
        </w:rPr>
      </w:pPr>
      <w:r>
        <w:rPr>
          <w:rFonts w:hint="eastAsia" w:ascii="宋体" w:hAnsi="宋体" w:cs="宋体"/>
          <w:kern w:val="0"/>
          <w:sz w:val="28"/>
          <w:szCs w:val="28"/>
        </w:rPr>
        <w:t>4、</w:t>
      </w:r>
      <w:r>
        <w:rPr>
          <w:rFonts w:hint="eastAsia" w:ascii="宋体" w:hAnsi="宋体" w:cs="宋体"/>
          <w:sz w:val="28"/>
          <w:szCs w:val="28"/>
          <w:lang w:eastAsia="zh-CN"/>
        </w:rPr>
        <w:t>服务期限</w:t>
      </w:r>
      <w:r>
        <w:rPr>
          <w:rFonts w:hint="eastAsia" w:ascii="宋体" w:hAnsi="宋体" w:cs="宋体"/>
          <w:sz w:val="28"/>
          <w:szCs w:val="28"/>
        </w:rPr>
        <w:t>结束后，甲方财务部门接到甲方确认本合同服务等约定事项已经履行完毕的正式书面文件后的</w:t>
      </w:r>
      <w:r>
        <w:rPr>
          <w:rFonts w:hint="eastAsia" w:ascii="宋体" w:hAnsi="宋体" w:cs="宋体"/>
          <w:sz w:val="28"/>
          <w:szCs w:val="28"/>
          <w:u w:val="single"/>
        </w:rPr>
        <w:t xml:space="preserve"> / </w:t>
      </w:r>
      <w:r>
        <w:rPr>
          <w:rFonts w:hint="eastAsia" w:ascii="宋体" w:hAnsi="宋体" w:cs="宋体"/>
          <w:sz w:val="28"/>
          <w:szCs w:val="28"/>
        </w:rPr>
        <w:t>日内，向乙方退还履约保证金。</w:t>
      </w:r>
    </w:p>
    <w:p w14:paraId="4FB9307C">
      <w:pPr>
        <w:spacing w:line="360" w:lineRule="auto"/>
        <w:ind w:firstLine="562" w:firstLineChars="200"/>
        <w:rPr>
          <w:rFonts w:hint="eastAsia" w:ascii="宋体" w:hAnsi="宋体" w:cs="宋体"/>
          <w:b/>
          <w:sz w:val="28"/>
          <w:szCs w:val="28"/>
        </w:rPr>
      </w:pPr>
      <w:r>
        <w:rPr>
          <w:rFonts w:hint="eastAsia" w:ascii="宋体" w:hAnsi="宋体" w:cs="宋体"/>
          <w:b/>
          <w:sz w:val="28"/>
          <w:szCs w:val="28"/>
        </w:rPr>
        <w:t>第八条  甲方的权利和义务</w:t>
      </w:r>
    </w:p>
    <w:p w14:paraId="1CE3A4F3">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1F5AA103">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2、负责检查监督乙方管理工作的实施及制度的执行情况。</w:t>
      </w:r>
    </w:p>
    <w:p w14:paraId="528ED82F">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3、根据本合同规定，按时向乙方支付应付服务费用。</w:t>
      </w:r>
    </w:p>
    <w:p w14:paraId="216AD1BC">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4、国家法律、法规所规定由甲方承担的其它责任。</w:t>
      </w:r>
    </w:p>
    <w:p w14:paraId="723C7AEA">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第九条  乙方的权利和义务 </w:t>
      </w:r>
    </w:p>
    <w:p w14:paraId="4DCF8036">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1、对本合同规定的委托服务范围内的项目享有管理权及服务义务。</w:t>
      </w:r>
    </w:p>
    <w:p w14:paraId="04F2FB3A">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2、根据本合同的规定向甲方收取相关服务费用，并有权在本项目管理范围内管理及合理使用。</w:t>
      </w:r>
    </w:p>
    <w:p w14:paraId="2DE51A67">
      <w:pPr>
        <w:adjustRightInd w:val="0"/>
        <w:spacing w:line="360" w:lineRule="auto"/>
        <w:ind w:firstLine="560" w:firstLineChars="200"/>
        <w:jc w:val="left"/>
        <w:textAlignment w:val="baseline"/>
        <w:rPr>
          <w:rFonts w:hint="eastAsia" w:ascii="宋体" w:hAnsi="宋体" w:cs="宋体"/>
          <w:sz w:val="28"/>
          <w:szCs w:val="28"/>
        </w:rPr>
      </w:pPr>
      <w:r>
        <w:rPr>
          <w:rFonts w:hint="eastAsia" w:ascii="宋体" w:hAnsi="宋体" w:cs="宋体"/>
          <w:sz w:val="28"/>
          <w:szCs w:val="28"/>
        </w:rPr>
        <w:t>3、及时向甲方通告本项目服务范围内有关服务的重大事项，及时配合处理投诉。</w:t>
      </w:r>
    </w:p>
    <w:p w14:paraId="027FF25D">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sz w:val="28"/>
          <w:szCs w:val="28"/>
        </w:rPr>
        <w:t>4、</w:t>
      </w:r>
      <w:r>
        <w:rPr>
          <w:rFonts w:hint="eastAsia" w:ascii="宋体" w:hAnsi="宋体" w:cs="宋体"/>
          <w:bCs/>
          <w:sz w:val="28"/>
          <w:szCs w:val="28"/>
        </w:rPr>
        <w:t>接受项目行业管理部门及政府有关部门的指导，接受甲方的监督。</w:t>
      </w:r>
    </w:p>
    <w:p w14:paraId="011023CD">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5、国家法律、法规所规定由乙方承担的其它责任。</w:t>
      </w:r>
    </w:p>
    <w:p w14:paraId="13F29940">
      <w:pPr>
        <w:spacing w:line="360" w:lineRule="auto"/>
        <w:ind w:left="426"/>
        <w:rPr>
          <w:rFonts w:hint="eastAsia" w:ascii="宋体" w:hAnsi="宋体" w:cs="宋体"/>
          <w:b/>
          <w:sz w:val="28"/>
          <w:szCs w:val="28"/>
        </w:rPr>
      </w:pPr>
      <w:r>
        <w:rPr>
          <w:rFonts w:hint="eastAsia" w:ascii="宋体" w:hAnsi="宋体" w:cs="宋体"/>
          <w:b/>
          <w:sz w:val="28"/>
          <w:szCs w:val="28"/>
        </w:rPr>
        <w:t xml:space="preserve">第十条  违约责任 </w:t>
      </w:r>
    </w:p>
    <w:p w14:paraId="2FF6094B">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1、甲乙双方必须遵守本合同并执行合同中的各项规定，保证本合同的正常履行。</w:t>
      </w:r>
    </w:p>
    <w:p w14:paraId="0B3D070C">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9D5FFA2">
      <w:pPr>
        <w:spacing w:line="360" w:lineRule="auto"/>
        <w:ind w:left="426"/>
        <w:rPr>
          <w:rFonts w:hint="eastAsia" w:ascii="宋体" w:hAnsi="宋体" w:cs="宋体"/>
          <w:b/>
          <w:sz w:val="28"/>
          <w:szCs w:val="28"/>
        </w:rPr>
      </w:pPr>
      <w:r>
        <w:rPr>
          <w:rFonts w:hint="eastAsia" w:ascii="宋体" w:hAnsi="宋体" w:cs="宋体"/>
          <w:b/>
          <w:sz w:val="28"/>
          <w:szCs w:val="28"/>
        </w:rPr>
        <w:t xml:space="preserve">第十一条  不可抗力事件处理 </w:t>
      </w:r>
    </w:p>
    <w:p w14:paraId="554E87B9">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1、在合同有效期内，任何一方因不可抗力事件导致不能履行合同，则合同履行期可延长，其延长期与不可抗力影响期相同。</w:t>
      </w:r>
    </w:p>
    <w:p w14:paraId="7A48CEEA">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2、不可抗力事件发生后，应立即通知对方，并寄送有关权威机构出具的证明。</w:t>
      </w:r>
    </w:p>
    <w:p w14:paraId="24BA28BD">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3、不可抗力事件延续</w:t>
      </w:r>
      <w:r>
        <w:rPr>
          <w:rFonts w:hint="eastAsia" w:ascii="宋体" w:hAnsi="宋体" w:cs="宋体"/>
          <w:sz w:val="28"/>
          <w:szCs w:val="28"/>
          <w:u w:val="single"/>
        </w:rPr>
        <w:t xml:space="preserve">     </w:t>
      </w:r>
      <w:r>
        <w:rPr>
          <w:rFonts w:hint="eastAsia" w:ascii="宋体" w:hAnsi="宋体" w:cs="宋体"/>
          <w:sz w:val="28"/>
          <w:szCs w:val="28"/>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41AAC99">
      <w:pPr>
        <w:widowControl/>
        <w:spacing w:line="360" w:lineRule="auto"/>
        <w:ind w:firstLine="562" w:firstLineChars="200"/>
        <w:jc w:val="left"/>
        <w:rPr>
          <w:rFonts w:hint="eastAsia" w:ascii="宋体" w:hAnsi="宋体" w:cs="宋体"/>
          <w:kern w:val="0"/>
          <w:sz w:val="28"/>
          <w:szCs w:val="28"/>
        </w:rPr>
      </w:pPr>
      <w:bookmarkStart w:id="18" w:name="_Toc211911353"/>
      <w:bookmarkStart w:id="19" w:name="_Toc237145411"/>
      <w:bookmarkStart w:id="20" w:name="_Toc225654649"/>
      <w:bookmarkStart w:id="21" w:name="_Toc241833908"/>
      <w:bookmarkStart w:id="22" w:name="_Toc212019599"/>
      <w:bookmarkStart w:id="23" w:name="_Toc239233919"/>
      <w:bookmarkStart w:id="24" w:name="_Toc225670756"/>
      <w:bookmarkStart w:id="25" w:name="_Toc247334846"/>
      <w:bookmarkStart w:id="26" w:name="_Toc238984980"/>
      <w:bookmarkStart w:id="27" w:name="_Toc286993792"/>
      <w:bookmarkStart w:id="28" w:name="_Toc251768867"/>
      <w:bookmarkStart w:id="29" w:name="_Toc232492933"/>
      <w:bookmarkStart w:id="30" w:name="_Toc185395254"/>
      <w:bookmarkStart w:id="31" w:name="_Toc225244857"/>
      <w:bookmarkStart w:id="32" w:name="_Toc239568423"/>
      <w:bookmarkStart w:id="33" w:name="_Toc211854454"/>
      <w:r>
        <w:rPr>
          <w:rFonts w:hint="eastAsia" w:ascii="宋体" w:hAnsi="宋体" w:cs="宋体"/>
          <w:b/>
          <w:sz w:val="28"/>
          <w:szCs w:val="28"/>
        </w:rPr>
        <w:t xml:space="preserve">第十二条  </w:t>
      </w:r>
      <w:r>
        <w:rPr>
          <w:rFonts w:hint="eastAsia" w:ascii="宋体" w:hAnsi="宋体" w:cs="宋体"/>
          <w:b/>
          <w:kern w:val="0"/>
          <w:sz w:val="28"/>
          <w:szCs w:val="28"/>
        </w:rPr>
        <w:t>合同的变更和终止</w:t>
      </w:r>
    </w:p>
    <w:p w14:paraId="5BCEAE31">
      <w:pPr>
        <w:widowControl/>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除《中华人民共和国政府采购法》第49条、第50条第二款规定的情形外，本合同一经签订，甲乙双方不得擅自变更、中止或终止合同。</w:t>
      </w:r>
    </w:p>
    <w:p w14:paraId="6F10AA46">
      <w:pPr>
        <w:spacing w:line="360" w:lineRule="auto"/>
        <w:ind w:left="426"/>
        <w:rPr>
          <w:rFonts w:hint="eastAsia" w:ascii="宋体" w:hAnsi="宋体" w:cs="宋体"/>
          <w:b/>
          <w:sz w:val="28"/>
          <w:szCs w:val="28"/>
        </w:rPr>
      </w:pPr>
      <w:r>
        <w:rPr>
          <w:rFonts w:hint="eastAsia" w:ascii="宋体" w:hAnsi="宋体" w:cs="宋体"/>
          <w:b/>
          <w:sz w:val="28"/>
          <w:szCs w:val="28"/>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70E4A9B">
      <w:pPr>
        <w:pStyle w:val="8"/>
        <w:spacing w:line="360" w:lineRule="auto"/>
        <w:ind w:firstLine="560"/>
        <w:rPr>
          <w:rFonts w:hint="eastAsia" w:ascii="宋体" w:hAnsi="宋体"/>
          <w:kern w:val="0"/>
          <w:sz w:val="28"/>
          <w:szCs w:val="28"/>
        </w:rPr>
      </w:pPr>
      <w:r>
        <w:rPr>
          <w:rFonts w:hint="eastAsia" w:ascii="宋体" w:hAnsi="宋体"/>
          <w:sz w:val="28"/>
          <w:szCs w:val="28"/>
        </w:rPr>
        <w:t>1、在执行本合同中发生的或与本合同有关的争端，双方应通过友好协商解决，经协商在</w:t>
      </w:r>
      <w:r>
        <w:rPr>
          <w:rFonts w:hint="eastAsia" w:ascii="宋体" w:hAnsi="宋体"/>
          <w:sz w:val="28"/>
          <w:szCs w:val="28"/>
          <w:u w:val="single"/>
        </w:rPr>
        <w:t xml:space="preserve">     </w:t>
      </w:r>
      <w:r>
        <w:rPr>
          <w:rFonts w:hint="eastAsia" w:ascii="宋体" w:hAnsi="宋体"/>
          <w:sz w:val="28"/>
          <w:szCs w:val="28"/>
        </w:rPr>
        <w:t>天内不能达成协议时，</w:t>
      </w:r>
      <w:r>
        <w:rPr>
          <w:rFonts w:hint="eastAsia" w:ascii="宋体" w:hAnsi="宋体"/>
          <w:kern w:val="0"/>
          <w:sz w:val="28"/>
          <w:szCs w:val="28"/>
        </w:rPr>
        <w:t>则采取以下第__</w:t>
      </w:r>
      <w:r>
        <w:rPr>
          <w:rFonts w:hint="eastAsia" w:ascii="宋体" w:hAnsi="宋体"/>
          <w:kern w:val="0"/>
          <w:sz w:val="28"/>
          <w:szCs w:val="28"/>
          <w:u w:val="single"/>
        </w:rPr>
        <w:t>1</w:t>
      </w:r>
      <w:r>
        <w:rPr>
          <w:rFonts w:hint="eastAsia" w:ascii="宋体" w:hAnsi="宋体"/>
          <w:kern w:val="0"/>
          <w:sz w:val="28"/>
          <w:szCs w:val="28"/>
        </w:rPr>
        <w:t>__种方式解决争议：</w:t>
      </w:r>
    </w:p>
    <w:p w14:paraId="1E17C671">
      <w:pPr>
        <w:pStyle w:val="8"/>
        <w:spacing w:line="360" w:lineRule="auto"/>
        <w:ind w:firstLine="560"/>
        <w:rPr>
          <w:rFonts w:hint="eastAsia" w:ascii="宋体" w:hAnsi="宋体"/>
          <w:kern w:val="0"/>
          <w:sz w:val="28"/>
          <w:szCs w:val="28"/>
        </w:rPr>
      </w:pPr>
      <w:r>
        <w:rPr>
          <w:rFonts w:hint="eastAsia" w:ascii="宋体" w:hAnsi="宋体"/>
          <w:kern w:val="0"/>
          <w:sz w:val="28"/>
          <w:szCs w:val="28"/>
        </w:rPr>
        <w:t>（1）向甲方所在地有管辖权的人民法院提起诉讼；</w:t>
      </w:r>
    </w:p>
    <w:p w14:paraId="2D926B79">
      <w:pPr>
        <w:pStyle w:val="8"/>
        <w:spacing w:line="360" w:lineRule="auto"/>
        <w:ind w:firstLine="560"/>
        <w:rPr>
          <w:rFonts w:hint="eastAsia" w:ascii="宋体" w:hAnsi="宋体"/>
          <w:kern w:val="0"/>
          <w:sz w:val="28"/>
          <w:szCs w:val="28"/>
        </w:rPr>
      </w:pPr>
      <w:r>
        <w:rPr>
          <w:rFonts w:hint="eastAsia" w:ascii="宋体" w:hAnsi="宋体"/>
          <w:kern w:val="0"/>
          <w:sz w:val="28"/>
          <w:szCs w:val="28"/>
        </w:rPr>
        <w:t>（2）向</w:t>
      </w:r>
      <w:r>
        <w:rPr>
          <w:rFonts w:hint="eastAsia" w:ascii="宋体" w:hAnsi="宋体"/>
          <w:kern w:val="0"/>
          <w:sz w:val="28"/>
          <w:szCs w:val="28"/>
          <w:u w:val="single"/>
        </w:rPr>
        <w:t>当地</w:t>
      </w:r>
      <w:r>
        <w:rPr>
          <w:rFonts w:hint="eastAsia" w:ascii="宋体" w:hAnsi="宋体"/>
          <w:kern w:val="0"/>
          <w:sz w:val="28"/>
          <w:szCs w:val="28"/>
        </w:rPr>
        <w:t>仲裁委员会按其仲裁规则申请仲裁。</w:t>
      </w:r>
    </w:p>
    <w:p w14:paraId="3D5EB1A2">
      <w:pPr>
        <w:tabs>
          <w:tab w:val="left" w:pos="0"/>
        </w:tabs>
        <w:spacing w:line="360" w:lineRule="auto"/>
        <w:ind w:firstLine="560" w:firstLineChars="200"/>
        <w:rPr>
          <w:rFonts w:hint="eastAsia" w:ascii="宋体" w:hAnsi="宋体" w:cs="宋体"/>
          <w:sz w:val="28"/>
          <w:szCs w:val="28"/>
        </w:rPr>
      </w:pPr>
      <w:r>
        <w:rPr>
          <w:rFonts w:hint="eastAsia" w:ascii="宋体" w:hAnsi="宋体" w:cs="宋体"/>
          <w:kern w:val="0"/>
          <w:sz w:val="28"/>
          <w:szCs w:val="28"/>
        </w:rPr>
        <w:t>2、在仲裁期间，本合同应继续履行。</w:t>
      </w:r>
    </w:p>
    <w:p w14:paraId="3B8ADEB1">
      <w:pPr>
        <w:spacing w:line="360" w:lineRule="auto"/>
        <w:ind w:left="426"/>
        <w:rPr>
          <w:rFonts w:hint="eastAsia" w:ascii="宋体" w:hAnsi="宋体" w:cs="宋体"/>
          <w:b/>
          <w:sz w:val="28"/>
          <w:szCs w:val="28"/>
        </w:rPr>
      </w:pPr>
      <w:bookmarkStart w:id="34" w:name="_Toc286993793"/>
      <w:bookmarkStart w:id="35" w:name="_Toc239233920"/>
      <w:bookmarkStart w:id="36" w:name="_Toc237145412"/>
      <w:bookmarkStart w:id="37" w:name="_Toc225244858"/>
      <w:bookmarkStart w:id="38" w:name="_Toc185395255"/>
      <w:bookmarkStart w:id="39" w:name="_Toc225670757"/>
      <w:bookmarkStart w:id="40" w:name="_Toc251768868"/>
      <w:bookmarkStart w:id="41" w:name="_Toc232492934"/>
      <w:bookmarkStart w:id="42" w:name="_Toc225654650"/>
      <w:bookmarkStart w:id="43" w:name="_Toc241833909"/>
      <w:bookmarkStart w:id="44" w:name="_Toc283019219"/>
      <w:bookmarkStart w:id="45" w:name="_Toc282696231"/>
      <w:bookmarkStart w:id="46" w:name="_Toc211854455"/>
      <w:bookmarkStart w:id="47" w:name="_Toc239568424"/>
      <w:bookmarkStart w:id="48" w:name="_Toc238984981"/>
      <w:bookmarkStart w:id="49" w:name="_Toc211911354"/>
      <w:bookmarkStart w:id="50" w:name="_Toc247334847"/>
      <w:bookmarkStart w:id="51" w:name="_Toc212019600"/>
      <w:r>
        <w:rPr>
          <w:rFonts w:hint="eastAsia" w:ascii="宋体" w:hAnsi="宋体" w:cs="宋体"/>
          <w:b/>
          <w:sz w:val="28"/>
          <w:szCs w:val="28"/>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cs="宋体"/>
          <w:b/>
          <w:sz w:val="28"/>
          <w:szCs w:val="28"/>
        </w:rPr>
        <w:t xml:space="preserve">生效及其他 </w:t>
      </w:r>
    </w:p>
    <w:p w14:paraId="326125CC">
      <w:pPr>
        <w:pStyle w:val="11"/>
        <w:spacing w:line="360" w:lineRule="auto"/>
        <w:ind w:firstLine="560"/>
        <w:rPr>
          <w:rFonts w:hint="eastAsia" w:ascii="宋体" w:hAnsi="宋体" w:cs="宋体"/>
          <w:sz w:val="28"/>
          <w:szCs w:val="28"/>
        </w:rPr>
      </w:pPr>
      <w:r>
        <w:rPr>
          <w:rFonts w:hint="eastAsia" w:ascii="宋体" w:hAnsi="宋体" w:cs="宋体"/>
          <w:sz w:val="28"/>
          <w:szCs w:val="28"/>
        </w:rPr>
        <w:t>1、合同经双方法定代表人或授权委托代理人签字并加盖单位公章后生效。</w:t>
      </w:r>
    </w:p>
    <w:p w14:paraId="2DA1AABE">
      <w:pPr>
        <w:pStyle w:val="11"/>
        <w:spacing w:line="360" w:lineRule="auto"/>
        <w:ind w:firstLine="560"/>
        <w:rPr>
          <w:rFonts w:hint="eastAsia" w:ascii="宋体" w:hAnsi="宋体" w:cs="宋体"/>
          <w:sz w:val="28"/>
          <w:szCs w:val="28"/>
        </w:rPr>
      </w:pPr>
      <w:r>
        <w:rPr>
          <w:rFonts w:hint="eastAsia" w:ascii="宋体" w:hAnsi="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06146D64">
      <w:pPr>
        <w:pStyle w:val="11"/>
        <w:spacing w:line="360" w:lineRule="auto"/>
        <w:ind w:firstLine="560"/>
        <w:rPr>
          <w:rFonts w:hint="eastAsia" w:ascii="宋体" w:hAnsi="宋体" w:cs="宋体"/>
          <w:sz w:val="28"/>
          <w:szCs w:val="28"/>
        </w:rPr>
      </w:pPr>
      <w:r>
        <w:rPr>
          <w:rFonts w:hint="eastAsia" w:ascii="宋体" w:hAnsi="宋体" w:cs="宋体"/>
          <w:sz w:val="28"/>
          <w:szCs w:val="28"/>
        </w:rPr>
        <w:t>3、本合同一式</w:t>
      </w:r>
      <w:r>
        <w:rPr>
          <w:rFonts w:hint="eastAsia" w:ascii="宋体" w:hAnsi="宋体" w:cs="宋体"/>
          <w:sz w:val="28"/>
          <w:szCs w:val="28"/>
          <w:u w:val="single"/>
        </w:rPr>
        <w:t xml:space="preserve">   </w:t>
      </w:r>
      <w:r>
        <w:rPr>
          <w:rFonts w:hint="eastAsia" w:ascii="宋体" w:hAnsi="宋体" w:cs="宋体"/>
          <w:sz w:val="28"/>
          <w:szCs w:val="28"/>
        </w:rPr>
        <w:t>份，自双方签章之日起起效。甲方</w:t>
      </w:r>
      <w:r>
        <w:rPr>
          <w:rFonts w:hint="eastAsia" w:ascii="宋体" w:hAnsi="宋体" w:cs="宋体"/>
          <w:sz w:val="28"/>
          <w:szCs w:val="28"/>
          <w:u w:val="single"/>
        </w:rPr>
        <w:t xml:space="preserve">   </w:t>
      </w:r>
      <w:r>
        <w:rPr>
          <w:rFonts w:hint="eastAsia" w:ascii="宋体" w:hAnsi="宋体" w:cs="宋体"/>
          <w:sz w:val="28"/>
          <w:szCs w:val="28"/>
        </w:rPr>
        <w:t>份，乙方</w:t>
      </w:r>
      <w:r>
        <w:rPr>
          <w:rFonts w:hint="eastAsia" w:ascii="宋体" w:hAnsi="宋体" w:cs="宋体"/>
          <w:sz w:val="28"/>
          <w:szCs w:val="28"/>
          <w:u w:val="single"/>
        </w:rPr>
        <w:t xml:space="preserve">   </w:t>
      </w:r>
      <w:r>
        <w:rPr>
          <w:rFonts w:hint="eastAsia" w:ascii="宋体" w:hAnsi="宋体" w:cs="宋体"/>
          <w:sz w:val="28"/>
          <w:szCs w:val="28"/>
        </w:rPr>
        <w:t>份，政府采购代理机构</w:t>
      </w:r>
      <w:r>
        <w:rPr>
          <w:rFonts w:hint="eastAsia" w:ascii="宋体" w:hAnsi="宋体" w:cs="宋体"/>
          <w:sz w:val="28"/>
          <w:szCs w:val="28"/>
          <w:u w:val="single"/>
        </w:rPr>
        <w:t xml:space="preserve">   </w:t>
      </w:r>
      <w:r>
        <w:rPr>
          <w:rFonts w:hint="eastAsia" w:ascii="宋体" w:hAnsi="宋体" w:cs="宋体"/>
          <w:sz w:val="28"/>
          <w:szCs w:val="28"/>
        </w:rPr>
        <w:t>份，同级财政部门备案</w:t>
      </w:r>
      <w:r>
        <w:rPr>
          <w:rFonts w:hint="eastAsia" w:ascii="宋体" w:hAnsi="宋体" w:cs="宋体"/>
          <w:sz w:val="28"/>
          <w:szCs w:val="28"/>
          <w:u w:val="single"/>
        </w:rPr>
        <w:t xml:space="preserve">   </w:t>
      </w:r>
      <w:r>
        <w:rPr>
          <w:rFonts w:hint="eastAsia" w:ascii="宋体" w:hAnsi="宋体" w:cs="宋体"/>
          <w:sz w:val="28"/>
          <w:szCs w:val="28"/>
        </w:rPr>
        <w:t>份，具有同等法律效力。</w:t>
      </w:r>
    </w:p>
    <w:p w14:paraId="5A937B38">
      <w:pPr>
        <w:spacing w:line="360" w:lineRule="auto"/>
        <w:ind w:left="426"/>
        <w:rPr>
          <w:rFonts w:hint="eastAsia" w:ascii="宋体" w:hAnsi="宋体" w:cs="宋体"/>
          <w:b/>
          <w:sz w:val="28"/>
          <w:szCs w:val="28"/>
        </w:rPr>
      </w:pPr>
      <w:r>
        <w:rPr>
          <w:rFonts w:hint="eastAsia" w:ascii="宋体" w:hAnsi="宋体" w:cs="宋体"/>
          <w:b/>
          <w:sz w:val="28"/>
          <w:szCs w:val="28"/>
        </w:rPr>
        <w:t>第十五条  附件</w:t>
      </w:r>
    </w:p>
    <w:p w14:paraId="12B1F1E0">
      <w:pPr>
        <w:pStyle w:val="11"/>
        <w:spacing w:line="360" w:lineRule="auto"/>
        <w:ind w:firstLine="560"/>
        <w:rPr>
          <w:rFonts w:hint="eastAsia" w:ascii="宋体" w:hAnsi="宋体" w:cs="宋体"/>
          <w:sz w:val="28"/>
          <w:szCs w:val="28"/>
        </w:rPr>
      </w:pPr>
      <w:r>
        <w:rPr>
          <w:rFonts w:hint="eastAsia" w:ascii="宋体" w:hAnsi="宋体" w:cs="宋体"/>
          <w:sz w:val="28"/>
          <w:szCs w:val="28"/>
        </w:rPr>
        <w:t>1、项目磋商文件</w:t>
      </w:r>
    </w:p>
    <w:p w14:paraId="7CE87EC1">
      <w:pPr>
        <w:pStyle w:val="11"/>
        <w:spacing w:line="360" w:lineRule="auto"/>
        <w:ind w:firstLine="560"/>
        <w:rPr>
          <w:rFonts w:hint="eastAsia" w:ascii="宋体" w:hAnsi="宋体" w:cs="宋体"/>
          <w:sz w:val="28"/>
          <w:szCs w:val="28"/>
        </w:rPr>
      </w:pPr>
      <w:r>
        <w:rPr>
          <w:rFonts w:hint="eastAsia" w:ascii="宋体" w:hAnsi="宋体" w:cs="宋体"/>
          <w:sz w:val="28"/>
          <w:szCs w:val="28"/>
        </w:rPr>
        <w:t>2、项目修改澄清文件</w:t>
      </w:r>
    </w:p>
    <w:p w14:paraId="5879E935">
      <w:pPr>
        <w:pStyle w:val="11"/>
        <w:spacing w:line="360" w:lineRule="auto"/>
        <w:ind w:firstLine="560"/>
        <w:rPr>
          <w:rFonts w:hint="eastAsia" w:ascii="宋体" w:hAnsi="宋体" w:cs="宋体"/>
          <w:sz w:val="28"/>
          <w:szCs w:val="28"/>
        </w:rPr>
      </w:pPr>
      <w:r>
        <w:rPr>
          <w:rFonts w:hint="eastAsia" w:ascii="宋体" w:hAnsi="宋体" w:cs="宋体"/>
          <w:sz w:val="28"/>
          <w:szCs w:val="28"/>
        </w:rPr>
        <w:t>3、项目磋商响应文件</w:t>
      </w:r>
    </w:p>
    <w:p w14:paraId="125B1B59">
      <w:pPr>
        <w:pStyle w:val="11"/>
        <w:spacing w:line="360" w:lineRule="auto"/>
        <w:ind w:firstLine="560"/>
        <w:rPr>
          <w:rFonts w:hint="eastAsia" w:ascii="宋体" w:hAnsi="宋体" w:cs="宋体"/>
          <w:sz w:val="28"/>
          <w:szCs w:val="28"/>
        </w:rPr>
      </w:pPr>
      <w:r>
        <w:rPr>
          <w:rFonts w:hint="eastAsia" w:ascii="宋体" w:hAnsi="宋体" w:cs="宋体"/>
          <w:sz w:val="28"/>
          <w:szCs w:val="28"/>
        </w:rPr>
        <w:t>4、成交通知书</w:t>
      </w:r>
    </w:p>
    <w:p w14:paraId="6411009E">
      <w:pPr>
        <w:pStyle w:val="11"/>
        <w:spacing w:line="360" w:lineRule="auto"/>
        <w:ind w:firstLine="560"/>
        <w:rPr>
          <w:rFonts w:hint="eastAsia" w:ascii="宋体" w:hAnsi="宋体" w:cs="宋体"/>
          <w:sz w:val="28"/>
          <w:szCs w:val="28"/>
        </w:rPr>
      </w:pPr>
      <w:r>
        <w:rPr>
          <w:rFonts w:hint="eastAsia" w:ascii="宋体" w:hAnsi="宋体" w:cs="宋体"/>
          <w:sz w:val="28"/>
          <w:szCs w:val="28"/>
        </w:rPr>
        <w:t>5、其他</w:t>
      </w:r>
    </w:p>
    <w:p w14:paraId="0AF3CEF5">
      <w:pPr>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甲方：   （盖章）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乙方：   （盖章）</w:t>
      </w:r>
    </w:p>
    <w:p w14:paraId="39C55DA9">
      <w:pPr>
        <w:spacing w:line="360" w:lineRule="auto"/>
        <w:ind w:firstLine="560" w:firstLineChars="200"/>
        <w:rPr>
          <w:rFonts w:hint="eastAsia" w:ascii="宋体" w:hAnsi="宋体" w:cs="宋体"/>
          <w:sz w:val="28"/>
          <w:szCs w:val="28"/>
        </w:rPr>
      </w:pPr>
      <w:r>
        <w:rPr>
          <w:rFonts w:hint="eastAsia" w:ascii="宋体" w:hAnsi="宋体" w:cs="宋体"/>
          <w:sz w:val="28"/>
          <w:szCs w:val="28"/>
        </w:rPr>
        <w:t>法定代表人（授权代表）：            法定代表人（授权代表）：</w:t>
      </w:r>
    </w:p>
    <w:p w14:paraId="7739FDEB">
      <w:pPr>
        <w:spacing w:line="360" w:lineRule="auto"/>
        <w:ind w:firstLine="560" w:firstLineChars="200"/>
        <w:rPr>
          <w:rFonts w:hint="eastAsia" w:ascii="宋体" w:hAnsi="宋体" w:cs="宋体"/>
          <w:sz w:val="28"/>
          <w:szCs w:val="28"/>
        </w:rPr>
      </w:pPr>
      <w:r>
        <w:rPr>
          <w:rFonts w:hint="eastAsia" w:ascii="宋体" w:hAnsi="宋体" w:cs="宋体"/>
          <w:sz w:val="28"/>
          <w:szCs w:val="28"/>
        </w:rPr>
        <w:t>地    址：                         地    址：</w:t>
      </w:r>
    </w:p>
    <w:p w14:paraId="4E45A0F8">
      <w:pPr>
        <w:spacing w:line="360" w:lineRule="auto"/>
        <w:ind w:firstLine="560" w:firstLineChars="200"/>
        <w:rPr>
          <w:rFonts w:hint="eastAsia" w:ascii="宋体" w:hAnsi="宋体" w:cs="宋体"/>
          <w:sz w:val="28"/>
          <w:szCs w:val="28"/>
        </w:rPr>
      </w:pPr>
      <w:r>
        <w:rPr>
          <w:rFonts w:hint="eastAsia" w:ascii="宋体" w:hAnsi="宋体" w:cs="宋体"/>
          <w:sz w:val="28"/>
          <w:szCs w:val="28"/>
        </w:rPr>
        <w:t>开户银行：                         开户银行：</w:t>
      </w:r>
    </w:p>
    <w:p w14:paraId="1BA7AEF4">
      <w:pPr>
        <w:spacing w:line="360" w:lineRule="auto"/>
        <w:ind w:firstLine="560" w:firstLineChars="200"/>
        <w:rPr>
          <w:rFonts w:hint="eastAsia" w:ascii="宋体" w:hAnsi="宋体" w:cs="宋体"/>
          <w:sz w:val="28"/>
          <w:szCs w:val="28"/>
        </w:rPr>
      </w:pPr>
      <w:r>
        <w:rPr>
          <w:rFonts w:hint="eastAsia" w:ascii="宋体" w:hAnsi="宋体" w:cs="宋体"/>
          <w:sz w:val="28"/>
          <w:szCs w:val="28"/>
        </w:rPr>
        <w:t>账号：                             账号：</w:t>
      </w:r>
    </w:p>
    <w:p w14:paraId="45760FC4">
      <w:pPr>
        <w:spacing w:line="360" w:lineRule="auto"/>
        <w:ind w:firstLine="560" w:firstLineChars="200"/>
        <w:rPr>
          <w:rFonts w:hint="eastAsia" w:ascii="宋体" w:hAnsi="宋体" w:cs="宋体"/>
          <w:sz w:val="28"/>
          <w:szCs w:val="28"/>
        </w:rPr>
      </w:pPr>
      <w:r>
        <w:rPr>
          <w:rFonts w:hint="eastAsia" w:ascii="宋体" w:hAnsi="宋体" w:cs="宋体"/>
          <w:sz w:val="28"/>
          <w:szCs w:val="28"/>
        </w:rPr>
        <w:t>电    话：                         电    话：</w:t>
      </w:r>
    </w:p>
    <w:p w14:paraId="3683ABD7">
      <w:pPr>
        <w:spacing w:line="360" w:lineRule="auto"/>
        <w:ind w:firstLine="560" w:firstLineChars="200"/>
        <w:rPr>
          <w:rFonts w:hint="eastAsia" w:ascii="宋体" w:hAnsi="宋体" w:cs="宋体"/>
          <w:sz w:val="28"/>
          <w:szCs w:val="28"/>
        </w:rPr>
      </w:pPr>
      <w:r>
        <w:rPr>
          <w:rFonts w:hint="eastAsia" w:ascii="宋体" w:hAnsi="宋体" w:cs="宋体"/>
          <w:sz w:val="28"/>
          <w:szCs w:val="28"/>
        </w:rPr>
        <w:t>传    真：                         传    真：</w:t>
      </w:r>
    </w:p>
    <w:p w14:paraId="1385D4E9">
      <w:pPr>
        <w:spacing w:line="360" w:lineRule="auto"/>
        <w:rPr>
          <w:rFonts w:hint="eastAsia" w:ascii="宋体" w:hAnsi="宋体" w:cs="宋体"/>
          <w:b/>
          <w:bCs/>
          <w:sz w:val="28"/>
          <w:szCs w:val="28"/>
        </w:rPr>
      </w:pPr>
      <w:r>
        <w:rPr>
          <w:rFonts w:hint="eastAsia" w:ascii="宋体" w:hAnsi="宋体" w:cs="宋体"/>
          <w:sz w:val="28"/>
          <w:szCs w:val="28"/>
        </w:rPr>
        <w:t xml:space="preserve">签约日期：  年  月  日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签约日期：  年  月  日  </w:t>
      </w:r>
    </w:p>
    <w:p w14:paraId="3124F7A7">
      <w:r>
        <w:rPr>
          <w:rFonts w:hint="eastAsia" w:ascii="宋体" w:hAnsi="宋体" w:cs="宋体"/>
          <w:b/>
          <w:bCs/>
          <w:sz w:val="28"/>
          <w:szCs w:val="28"/>
        </w:rPr>
        <w:t>注：该合同模板仅供参考，合同具体内容及格式签订正式合同时，甲乙双方协商确定。</w:t>
      </w:r>
    </w:p>
    <w:p w14:paraId="11732D6A">
      <w:bookmarkStart w:id="52" w:name="_GoBack"/>
      <w:bookmarkEnd w:id="52"/>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EC42">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2076AE">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C2076AE">
                    <w:pPr>
                      <w:pStyle w:val="4"/>
                    </w:pPr>
                    <w:r>
                      <w:fldChar w:fldCharType="begin"/>
                    </w:r>
                    <w:r>
                      <w:instrText xml:space="preserve"> PAGE  \* MERGEFORMAT </w:instrText>
                    </w:r>
                    <w:r>
                      <w:fldChar w:fldCharType="separate"/>
                    </w:r>
                    <w:r>
                      <w:t>40</w:t>
                    </w:r>
                    <w:r>
                      <w:fldChar w:fldCharType="end"/>
                    </w:r>
                  </w:p>
                </w:txbxContent>
              </v:textbox>
            </v:shape>
          </w:pict>
        </mc:Fallback>
      </mc:AlternateContent>
    </w:r>
  </w:p>
  <w:p w14:paraId="30158BAF">
    <w:pPr>
      <w:spacing w:line="280" w:lineRule="exact"/>
      <w:rPr>
        <w:rFonts w:hint="eastAsia"/>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8D6B0">
    <w:pPr>
      <w:pStyle w:val="5"/>
      <w:jc w:val="left"/>
      <w:rPr>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9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8"/>
      <w:u w:val="none" w:color="000000"/>
      <w:lang w:val="en-US" w:eastAsia="zh-CN" w:bidi="ar-SA"/>
    </w:rPr>
  </w:style>
  <w:style w:type="paragraph" w:styleId="2">
    <w:name w:val="heading 1"/>
    <w:basedOn w:val="1"/>
    <w:next w:val="1"/>
    <w:qFormat/>
    <w:uiPriority w:val="0"/>
    <w:pPr>
      <w:keepNext/>
      <w:keepLines/>
      <w:spacing w:before="240" w:beforeLines="0" w:beforeAutospacing="0" w:after="240" w:afterLines="0" w:afterAutospacing="0" w:line="240" w:lineRule="auto"/>
      <w:jc w:val="center"/>
      <w:outlineLvl w:val="0"/>
    </w:pPr>
    <w:rPr>
      <w:rFonts w:ascii="Calibri" w:hAnsi="Calibri" w:eastAsia="宋体" w:cs="Times New Roman"/>
      <w:b/>
      <w:kern w:val="44"/>
      <w:sz w:val="36"/>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val="0"/>
      <w:snapToGrid w:val="0"/>
      <w:spacing w:line="360" w:lineRule="auto"/>
    </w:pPr>
    <w:rPr>
      <w:rFonts w:ascii="Arial" w:hAnsi="Arial" w:eastAsia="FangSong_GB2312"/>
      <w:sz w:val="31"/>
    </w:rPr>
  </w:style>
  <w:style w:type="paragraph" w:styleId="4">
    <w:name w:val="footer"/>
    <w:basedOn w:val="1"/>
    <w:next w:val="3"/>
    <w:qFormat/>
    <w:uiPriority w:val="99"/>
    <w:pPr>
      <w:tabs>
        <w:tab w:val="center" w:pos="4153"/>
        <w:tab w:val="right" w:pos="8306"/>
      </w:tabs>
      <w:snapToGrid w:val="0"/>
      <w:spacing w:line="240" w:lineRule="atLeast"/>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8">
    <w:name w:val="样式 首行缩进:  2 字符"/>
    <w:basedOn w:val="1"/>
    <w:autoRedefine/>
    <w:qFormat/>
    <w:uiPriority w:val="0"/>
    <w:pPr>
      <w:spacing w:line="400" w:lineRule="exact"/>
      <w:ind w:firstLine="200" w:firstLineChars="200"/>
    </w:pPr>
    <w:rPr>
      <w:rFonts w:ascii="Times New Roman" w:hAnsi="Times New Roman" w:eastAsia="宋体" w:cs="宋体"/>
      <w:sz w:val="24"/>
    </w:rPr>
  </w:style>
  <w:style w:type="paragraph" w:customStyle="1" w:styleId="9">
    <w:name w:val="样式"/>
    <w:autoRedefine/>
    <w:qFormat/>
    <w:uiPriority w:val="0"/>
    <w:pPr>
      <w:widowControl w:val="0"/>
      <w:autoSpaceDE w:val="0"/>
      <w:autoSpaceDN w:val="0"/>
      <w:adjustRightInd w:val="0"/>
    </w:pPr>
    <w:rPr>
      <w:rFonts w:ascii="宋体" w:hAnsi="Calibri" w:eastAsia="宋体" w:cs="宋体"/>
      <w:sz w:val="24"/>
      <w:szCs w:val="24"/>
      <w:lang w:val="en-US" w:eastAsia="zh-CN" w:bidi="ar-SA"/>
    </w:rPr>
  </w:style>
  <w:style w:type="paragraph" w:customStyle="1" w:styleId="10">
    <w:name w:val="Table Paragraph"/>
    <w:basedOn w:val="1"/>
    <w:autoRedefine/>
    <w:qFormat/>
    <w:uiPriority w:val="0"/>
    <w:pPr>
      <w:autoSpaceDE w:val="0"/>
      <w:autoSpaceDN w:val="0"/>
      <w:adjustRightInd w:val="0"/>
      <w:jc w:val="left"/>
    </w:pPr>
    <w:rPr>
      <w:rFonts w:ascii="Times New Roman" w:hAnsi="Times New Roman" w:eastAsia="宋体" w:cs="Times New Roman"/>
      <w:kern w:val="0"/>
      <w:sz w:val="24"/>
      <w:szCs w:val="24"/>
    </w:rPr>
  </w:style>
  <w:style w:type="paragraph" w:customStyle="1" w:styleId="11">
    <w:name w:val="List Paragraph"/>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2025-11-07T10:22:24Z</dcterms:created>
  <dc:creator>Administrator</dc:creator>
  <cp:lastModifiedBy>樱花街的盛夏</cp:lastModifiedBy>
  <dcterms:modified xsi:type="dcterms:W3CDTF">2025-11-07T10:23:56Z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eyJoZGlkIjoiMjgyMThkNjQ5ODY3Mzc2NzA0Mzc1NmJjOTQ4NDJhZmMiLCJ1c2VySWQiOiI2NDcxNzE4MDkifQ==</vt:lpwstr>
  </property>
  <property fmtid="{D5CDD505-2E9C-101B-9397-08002B2CF9AE}" pid="4" name="ICV">
    <vt:lpwstr>7A291F0D595D4147854EF6C417D28E19_12</vt:lpwstr>
  </property>
</Properties>
</file>