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版本号：ZCBN-鄠邑区-2025-0045920251201001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鄠邑区中心敬老院配电房建设及设施改造提升项目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ZCBN-鄠邑区-2025-00459</w:t>
      </w:r>
      <w:r>
        <w:br/>
      </w:r>
      <w:r>
        <w:br/>
      </w:r>
      <w:r>
        <w:br/>
      </w:r>
    </w:p>
    <w:p>
      <w:pPr>
        <w:pStyle w:val="null3"/>
        <w:jc w:val="center"/>
        <w:outlineLvl w:val="2"/>
      </w:pPr>
      <w:r>
        <w:rPr>
          <w:rFonts w:ascii="仿宋_GB2312" w:hAnsi="仿宋_GB2312" w:cs="仿宋_GB2312" w:eastAsia="仿宋_GB2312"/>
          <w:sz w:val="28"/>
          <w:b/>
        </w:rPr>
        <w:t>西安市鄠邑区中心敬老院</w:t>
      </w:r>
    </w:p>
    <w:p>
      <w:pPr>
        <w:pStyle w:val="null3"/>
        <w:jc w:val="center"/>
        <w:outlineLvl w:val="2"/>
      </w:pPr>
      <w:r>
        <w:rPr>
          <w:rFonts w:ascii="仿宋_GB2312" w:hAnsi="仿宋_GB2312" w:cs="仿宋_GB2312" w:eastAsia="仿宋_GB2312"/>
          <w:sz w:val="28"/>
          <w:b/>
        </w:rPr>
        <w:t>陕西慧启工程咨询有限公司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陕西慧启工程咨询有限公司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西安市鄠邑区中心敬老院</w:t>
      </w:r>
      <w:r>
        <w:rPr>
          <w:rFonts w:ascii="仿宋_GB2312" w:hAnsi="仿宋_GB2312" w:cs="仿宋_GB2312" w:eastAsia="仿宋_GB2312"/>
        </w:rPr>
        <w:t>委托，拟对</w:t>
      </w:r>
      <w:r>
        <w:rPr>
          <w:rFonts w:ascii="仿宋_GB2312" w:hAnsi="仿宋_GB2312" w:cs="仿宋_GB2312" w:eastAsia="仿宋_GB2312"/>
        </w:rPr>
        <w:t>鄠邑区中心敬老院配电房建设及设施改造提升项目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ZCBN-鄠邑区-2025-00459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鄠邑区中心敬老院配电房建设及设施改造提升项目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鄠邑区中心敬老院配电房建设及设施改造提升项目，主要包括进线间提升改造；部分室外采暖阀门更换；换热站内的换热设备盘管及水泵的内部轴承进行更换（两个）等；护理楼内破损渗漏的暖气设施、部分卫生间地面和墙面、部分脱落的墙面和部分破损吊顶进行更换；护理楼南侧周边道路及院内大门西侧主道路局部改造；新增成品柴油发电机房（含柴油发电机、配电柜等）以及线路改造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采购包1（西安市鄠邑区中心敬老院配电房建设及设施改造提升项目）：属于专门面向中小企业采购。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2、缴纳税收：提供磋商截止日前一年内已缴纳的至少一个月的纳税证明或完税证明，依法免税的单位应提供相关证明材料；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3、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5、书面声明：参加本次采购活动前三年内在经营活动中没有重大违纪的书面声明；</w:t>
      </w:r>
    </w:p>
    <w:p>
      <w:pPr>
        <w:pStyle w:val="null3"/>
      </w:pPr>
      <w:r>
        <w:rPr>
          <w:rFonts w:ascii="仿宋_GB2312" w:hAnsi="仿宋_GB2312" w:cs="仿宋_GB2312" w:eastAsia="仿宋_GB2312"/>
        </w:rPr>
        <w:t>6、信誉情况：供应商不得为“中国执行信息公开网”网站（http://zxgk.court.gov.cn/shixin/）中列入失信被执行人和“信用中国”网站（www.creditchina.gov.cn）中列入重大税收违法失信主体的供应商，不得为“中国政府采购网”（www.ccgp.gov.cn）政府采购严重违法失信行为记录名单中被财政部门禁止参加政府采购活动的供应商，供应商及拟派项目经理需在陕西省建筑市场监管与诚信信息发布平台录入信息并可查询。</w:t>
      </w:r>
    </w:p>
    <w:p>
      <w:pPr>
        <w:pStyle w:val="null3"/>
      </w:pPr>
      <w:r>
        <w:rPr>
          <w:rFonts w:ascii="仿宋_GB2312" w:hAnsi="仿宋_GB2312" w:cs="仿宋_GB2312" w:eastAsia="仿宋_GB2312"/>
        </w:rPr>
        <w:t>7、授权委托书：法定代表人授权书（附法定代表人、被授权人身份证复印件）（法定代表人直接参加磋商，须提供法定代表人身份证明及身份证复印件）；</w:t>
      </w:r>
    </w:p>
    <w:p>
      <w:pPr>
        <w:pStyle w:val="null3"/>
      </w:pPr>
      <w:r>
        <w:rPr>
          <w:rFonts w:ascii="仿宋_GB2312" w:hAnsi="仿宋_GB2312" w:cs="仿宋_GB2312" w:eastAsia="仿宋_GB2312"/>
        </w:rPr>
        <w:t>8、企业资质：供应商须具有建筑工程施工总承包三级及以上资质，具备有效的安全生产许可证；</w:t>
      </w:r>
    </w:p>
    <w:p>
      <w:pPr>
        <w:pStyle w:val="null3"/>
      </w:pPr>
      <w:r>
        <w:rPr>
          <w:rFonts w:ascii="仿宋_GB2312" w:hAnsi="仿宋_GB2312" w:cs="仿宋_GB2312" w:eastAsia="仿宋_GB2312"/>
        </w:rPr>
        <w:t>9、项目经理：拟派项目经理须具备建筑工程专业二 级及以上注册建造师执业资格，项目经理具备有效的安全生产考核合格证书（B级），且在本单位注册，无在建工程；</w:t>
      </w:r>
    </w:p>
    <w:p>
      <w:pPr>
        <w:pStyle w:val="null3"/>
      </w:pPr>
      <w:r>
        <w:rPr>
          <w:rFonts w:ascii="仿宋_GB2312" w:hAnsi="仿宋_GB2312" w:cs="仿宋_GB2312" w:eastAsia="仿宋_GB2312"/>
        </w:rPr>
        <w:t>10、中小企业声明函：本项目专门面向中小企业采购（提供中小企业声明函）</w:t>
      </w:r>
    </w:p>
    <w:p>
      <w:pPr>
        <w:pStyle w:val="null3"/>
      </w:pPr>
      <w:r>
        <w:rPr>
          <w:rFonts w:ascii="仿宋_GB2312" w:hAnsi="仿宋_GB2312" w:cs="仿宋_GB2312" w:eastAsia="仿宋_GB2312"/>
        </w:rPr>
        <w:t>11、非联合体承诺书：本项目不接受联合体，单位负责人为同一人或者存在控股、管理关系的不同单位不得同时参加。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西安市鄠邑区中心敬老院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西安市鄠邑区娄敬路北段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胡美婷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029-84834040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陕西慧启工程咨询有限公司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17792545669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代理服务费收费标准：1、招标代理服务费参照国家计委关于印发《代理服务收费管理暂行办法》的通知（计价格〔2002〕1980号）、《国家发展和改革委员会办公厅关 于代理服务收费有关问题的通知》（发改办价格〔2003〕857号）规定标准收取。2、在领取成交通知书前，由成交单位向采购代理机构缴纳招标代理服务费，一次性付清。3、代理服务费缴纳账户信息：账户名称：陕西慧启工程咨询有限公司 开户行名称：招商银行股份有限公司陕西自贸试验区西安高新科技支行 开户账号：129918946110000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西安市鄠邑区中心敬老院</w:t>
      </w:r>
      <w:r>
        <w:rPr>
          <w:rFonts w:ascii="仿宋_GB2312" w:hAnsi="仿宋_GB2312" w:cs="仿宋_GB2312" w:eastAsia="仿宋_GB2312"/>
        </w:rPr>
        <w:t>和</w:t>
      </w:r>
      <w:r>
        <w:rPr>
          <w:rFonts w:ascii="仿宋_GB2312" w:hAnsi="仿宋_GB2312" w:cs="仿宋_GB2312" w:eastAsia="仿宋_GB2312"/>
        </w:rPr>
        <w:t>陕西慧启工程咨询有限公司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西安市鄠邑区中心敬老院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陕西慧启工程咨询有限公司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西安市鄠邑区中心敬老院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陕西慧启工程咨询有限公司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陕西慧启工程咨询有限公司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陕西慧启工程咨询有限公司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陕西慧启工程咨询有限公司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联系人：程苗</w:t>
      </w:r>
    </w:p>
    <w:p>
      <w:pPr>
        <w:pStyle w:val="null3"/>
      </w:pPr>
      <w:r>
        <w:rPr>
          <w:rFonts w:ascii="仿宋_GB2312" w:hAnsi="仿宋_GB2312" w:cs="仿宋_GB2312" w:eastAsia="仿宋_GB2312"/>
        </w:rPr>
        <w:t>联系电话：17792545669</w:t>
      </w:r>
    </w:p>
    <w:p>
      <w:pPr>
        <w:pStyle w:val="null3"/>
      </w:pPr>
      <w:r>
        <w:rPr>
          <w:rFonts w:ascii="仿宋_GB2312" w:hAnsi="仿宋_GB2312" w:cs="仿宋_GB2312" w:eastAsia="仿宋_GB2312"/>
        </w:rPr>
        <w:t>地址：西安市雁塔区电子二路60号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820,000.00</w:t>
      </w:r>
    </w:p>
    <w:p>
      <w:pPr>
        <w:pStyle w:val="null3"/>
      </w:pPr>
      <w:r>
        <w:rPr>
          <w:rFonts w:ascii="仿宋_GB2312" w:hAnsi="仿宋_GB2312" w:cs="仿宋_GB2312" w:eastAsia="仿宋_GB2312"/>
        </w:rPr>
        <w:t>采购包最高限价（元）: 789,338.86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符合行业及国家标准。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1、工期：自进场之日起90个日历天内竣工； 2、满足采购人要求。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（1）为顺利推进政府采购电子化交易平台试点应用工作，供应商需要在线提交所有通过电子化交易平台实施的政府采购项目的响应文件，发布成交结果公告后，成交供应商应及时向采购代理机构 提交一正二副二电子版，书籍（胶装）方式装订的盖章的纸质文件，若正本和副本不一致的，以正本为准。送至陕西省西安市雁塔区电子二路60号。（2）供应商务必在开标截止时间30分钟前，通过项目电子化交易系统进行签到，如未进行签到，产生的一起后果由供应商自行承担。 （3）供应商的磋商报价包括施工机械使用费、人工费、材料与设备费、维护费、其他（运杂费、质检费、安装费、缺陷修复费、保险费，以及合同明示或暗示的风险、责任和义务等），以及管理费、税金、利润、采购代理服务费等所有费用，并符合建设工程计价规则。（4）签名是指手写签名或者加盖姓名章，盖章是指加盖单位印章。（5）本项目采购标的对应的中小企业划分标准所属行业为建筑业。 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缴纳税收</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为“中国执行信息公开网”网站（http://zxgk.court.gov.cn/shixin/）中列入失信被执行人和“信用中国”网站（www.creditchina.gov.cn）中列入重大税收违法失信主体的供应商，不得为“中国政府采购网”（www.ccgp.gov.cn）政府采购严重违法失信行为记录名单中被财政部门禁止参加政府采购活动的供应商，供应商及拟派项目经理需在陕西省建筑市场监管与诚信信息发布平台录入信息并可查询。</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供应商须具有建筑工程施工总承包三级及以上资质，具备有效的安全生产许可证；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拟派项目经理须具备建筑工程专业二 级及以上注册建造师执业资格，项目经理具备有效的安全生产考核合格证书（B级），且在本单位注册，无在建工程；</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本项目不接受联合体，单位负责人为同一人或者存在控股、管理关系的不同单位不得同时参加。</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施工组织方案.docx 供应商资格要求.docx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施工组织方案.docx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（1）磋商报价符合唯一性要求；（2）第一次磋商报价表填写符合要求；（3）计量单位、报价货币均符合磋商文件要求；（4）未超出磋商文件规定的最高限价。</w:t>
            </w:r>
          </w:p>
        </w:tc>
        <w:tc>
          <w:tcPr>
            <w:tcW w:type="dxa" w:w="1661"/>
          </w:tcPr>
          <w:p>
            <w:pPr>
              <w:pStyle w:val="null3"/>
            </w:pPr>
            <w:r>
              <w:rPr>
                <w:rFonts w:ascii="仿宋_GB2312" w:hAnsi="仿宋_GB2312" w:cs="仿宋_GB2312" w:eastAsia="仿宋_GB2312"/>
              </w:rPr>
              <w:t>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一、评审内容：提供针对本项目的施工方案。内容包含：①施工准备：技术准备、材料准备、机械准备、机具准备、劳动力准备等。② 施工方法及工艺；③重难点及解决方案；④应急方案。二、评审标准：1、完整性：响应全面，对评审内容中的各项要求有详细描述；2、可实施性：内容科学，步骤清晰、合理，可实施性强；3、针对性：能够紧扣项目实际情况，满足具体要求。 三、赋分标准：（满分24分） ①施工准备每完全满足一个评审标准得2分，满分6分； ②施工方法及工艺每完全满足一个评审标准得2分，满分6分。③重难点及解决方案每完全满足一个评审标准得2分，满分6分。④应急方案每完全满足一个评审标准得2分，满分6分。每有一项评审内容存在缺陷，扣（0-2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施工进度</w:t>
            </w:r>
          </w:p>
        </w:tc>
        <w:tc>
          <w:tcPr>
            <w:tcW w:type="dxa" w:w="2492"/>
          </w:tcPr>
          <w:p>
            <w:pPr>
              <w:pStyle w:val="null3"/>
            </w:pPr>
            <w:r>
              <w:rPr>
                <w:rFonts w:ascii="仿宋_GB2312" w:hAnsi="仿宋_GB2312" w:cs="仿宋_GB2312" w:eastAsia="仿宋_GB2312"/>
              </w:rPr>
              <w:t>总工期满足采购文件要求、进度计划有网络图、节点工期控制合理得4分；总工期满足采购文件要求、进度计划有网络图，节点工期控制基本合理得2分；总工期满足采购文件要求，无网络图、无节点工期控制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一、评审内容：供应商针对本项目质量管理体系及保证措施，内容包含：①质量管理体系；②质量保障措施。 二、评审标准：1、完整性：响应全面，对评审内容中的各项要求有详细描述；2、可实施性：内容科学，步骤清晰、合理，可实施性强；3、针对性：能够紧扣项目实际情况，满足具体要求。 三、赋分标准：（满分6分） ①质量管理体系每完全满足一个评审标准得1分，满分3分； ②质量保障措施每完全满足一个评审标准得1分，满分3分。每有一项评审内容存在缺陷，扣（0-1）分，扣完为止。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安全管理</w:t>
            </w:r>
          </w:p>
        </w:tc>
        <w:tc>
          <w:tcPr>
            <w:tcW w:type="dxa" w:w="2492"/>
          </w:tcPr>
          <w:p>
            <w:pPr>
              <w:pStyle w:val="null3"/>
            </w:pPr>
            <w:r>
              <w:rPr>
                <w:rFonts w:ascii="仿宋_GB2312" w:hAnsi="仿宋_GB2312" w:cs="仿宋_GB2312" w:eastAsia="仿宋_GB2312"/>
              </w:rPr>
              <w:t>一、评审内容：提供针对本项目的安全管理体系与相关措施。内容包含：①安全管理体系②安全保障措施等。 二、评审标准：1、完整性：响应全面，对评审内容中的各项要求有详细描述；2、可实施性：内容科学，步骤清晰、合理，可实施性强；3、针对性：能够紧扣项目实际情况，满足具体要求。 三、赋分标准：（满分6分） ①安全管理体系每完全满足一个评审标准得1分，满分3分； ②安全保障措施等每完全满足一个评审标准得1分，满分3分。每有一项评审内容存在缺陷，扣（0-1）分，扣完为止。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文明施工</w:t>
            </w:r>
          </w:p>
        </w:tc>
        <w:tc>
          <w:tcPr>
            <w:tcW w:type="dxa" w:w="2492"/>
          </w:tcPr>
          <w:p>
            <w:pPr>
              <w:pStyle w:val="null3"/>
            </w:pPr>
            <w:r>
              <w:rPr>
                <w:rFonts w:ascii="仿宋_GB2312" w:hAnsi="仿宋_GB2312" w:cs="仿宋_GB2312" w:eastAsia="仿宋_GB2312"/>
              </w:rPr>
              <w:t>一、评审内容：提供针对本项目的文明施工保证体系及保证措施，内容包含：①文明施工保证体系②文明施工的保证措施。 二、评审标准：1、完整性：响应全面，对评审内容中的各项要求有详细描述；2、可实施性：内容科学，步骤清晰、合理，可实施性强；3、针对性：能够紧扣项目实际情况，满足具体要求。 三、赋分标准：（满分6分） ①文明施工保证体系每完全满足一个评审标准得1分，满分3分；②文明施工的保证措施。每完全满足一个评审标准得 1分，满分3分；每有一项评审内容存在缺陷，扣（0-1）分，扣完为止。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一、评审内容：提供针对本项目的环境保护管理体系及保证措施，内容包含：①环境保护管理体系②环保保护措施，包括污染物及废弃物处理的排放、噪音控制、防尘及扬尘的控制措施。 二、评审标准：1、完整性：响应全面，对评审内容中的各项要求有详细描述；2、可实施性：内容科学，步骤清晰、合理，可实施性强；3、针对性：能够紧扣项目实际情况，满足具体要求。 三、赋分标准：（满分6分） ①环境保护管理体系每完全满足一个评审标准得1分，满分3分；②环保保护措施每完全满足一个评审标准得 1分，满分3分；每有一项评审内容存在缺陷，扣（0-1）分，扣完为止。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一、评审内容：提供针对本项目组织机构，内容包含：①管理机构配备计划；②组织机构岗位职责。 一、评审标准：1、完整性：响应全面，对评审内容中的各项要求有详细描述；2、可实施性：内容科学，步骤清晰、合理，可实施性强；3、针对性：能够紧扣项目实际情况，满足具体要求。 三、赋分标准：（满分3分） ①管理机构配备计划每完全满足一个评审标准得0.5分，满分1.5分； ②组织机构岗位职责每完全满足一个评审标准得 0.5分，满分1.5分；每有一项评审内容存在缺陷，扣（0-0.5）分，扣完为止。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1）供应商近年（2020年1月1日至今）有类似项目的,每有一个得2分，满分得4分。 2）项目经理近年（2020年1月1日至今）有类似项目的,每有一个得1分，满分得1分。 注：业绩需附中标通知书或合同协议书。未提供不计分。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满足磋商文件要求且最后报价最低的供应商的价格为磋商基准价，其价格分为满分。其他供应商的价格分统一按照下列公式计算：磋商报价得分=（磋商基准价/磋商评审价）×40%×100。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详见附件：施工组织方案.docx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