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7E492">
      <w:pPr>
        <w:spacing w:line="360" w:lineRule="auto"/>
        <w:jc w:val="center"/>
        <w:outlineLvl w:val="9"/>
        <w:rPr>
          <w:rFonts w:hint="eastAsia" w:ascii="宋体" w:hAnsi="宋体" w:eastAsia="宋体" w:cs="宋体"/>
          <w:b/>
          <w:bCs/>
          <w:kern w:val="2"/>
          <w:sz w:val="24"/>
          <w:szCs w:val="24"/>
        </w:rPr>
      </w:pPr>
      <w:r>
        <w:rPr>
          <w:rFonts w:hint="eastAsia" w:ascii="宋体" w:hAnsi="宋体" w:eastAsia="宋体" w:cs="宋体"/>
          <w:b/>
          <w:bCs/>
          <w:kern w:val="2"/>
          <w:sz w:val="24"/>
          <w:szCs w:val="24"/>
        </w:rPr>
        <w:t>本合同仅为合同的参考文本</w:t>
      </w:r>
      <w:r>
        <w:rPr>
          <w:rFonts w:hint="eastAsia" w:ascii="宋体" w:hAnsi="宋体" w:eastAsia="宋体" w:cs="宋体"/>
          <w:b/>
          <w:bCs/>
          <w:kern w:val="2"/>
          <w:sz w:val="24"/>
          <w:szCs w:val="24"/>
          <w:lang w:eastAsia="zh-CN"/>
        </w:rPr>
        <w:t>，</w:t>
      </w:r>
      <w:r>
        <w:rPr>
          <w:rFonts w:hint="eastAsia" w:ascii="宋体" w:hAnsi="宋体" w:eastAsia="宋体" w:cs="宋体"/>
          <w:b/>
          <w:bCs/>
          <w:kern w:val="2"/>
          <w:sz w:val="24"/>
          <w:szCs w:val="24"/>
        </w:rPr>
        <w:t>合同签订双方可根据项目的具体要求进行修订。</w:t>
      </w:r>
    </w:p>
    <w:p w14:paraId="7297DBC0">
      <w:pPr>
        <w:spacing w:line="520" w:lineRule="exact"/>
        <w:ind w:firstLine="482" w:firstLineChars="200"/>
        <w:jc w:val="center"/>
        <w:rPr>
          <w:rFonts w:hint="eastAsia" w:ascii="仿宋" w:hAnsi="仿宋" w:eastAsia="仿宋" w:cs="仿宋"/>
          <w:b/>
          <w:bCs/>
          <w:sz w:val="32"/>
          <w:szCs w:val="32"/>
        </w:rPr>
      </w:pPr>
      <w:r>
        <w:rPr>
          <w:rFonts w:hint="eastAsia" w:ascii="宋体" w:hAnsi="宋体" w:eastAsia="宋体" w:cs="宋体"/>
          <w:b/>
          <w:bCs/>
          <w:kern w:val="2"/>
          <w:sz w:val="24"/>
          <w:szCs w:val="24"/>
        </w:rPr>
        <w:t>本合同为中小企业预留合同</w:t>
      </w:r>
    </w:p>
    <w:p w14:paraId="3E0C2726">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6B5164DF">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1E6C38CB">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24E1E42E">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bookmarkStart w:id="66" w:name="_GoBack"/>
      <w:bookmarkEnd w:id="66"/>
    </w:p>
    <w:p w14:paraId="52C2D4D7">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r>
        <w:rPr>
          <w:rFonts w:hint="eastAsia" w:ascii="宋体" w:hAnsi="宋体" w:eastAsia="宋体" w:cs="宋体"/>
          <w:sz w:val="44"/>
          <w:szCs w:val="44"/>
          <w:highlight w:val="none"/>
          <w:lang w:val="en-US" w:eastAsia="zh-CN"/>
        </w:rPr>
        <w:t>渭河鄠邑段堤防工程2025年维修养护服务项目</w:t>
      </w:r>
    </w:p>
    <w:p w14:paraId="53BB5C5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814363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D7DD39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1F347457">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FFFF0FA">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06F9FC44">
      <w:pPr>
        <w:pStyle w:val="7"/>
        <w:kinsoku/>
        <w:overflowPunct/>
        <w:topLinePunct w:val="0"/>
        <w:autoSpaceDE/>
        <w:autoSpaceDN/>
        <w:bidi w:val="0"/>
        <w:spacing w:line="360" w:lineRule="auto"/>
        <w:ind w:firstLine="2520" w:firstLineChars="1200"/>
        <w:jc w:val="both"/>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合同编号：____________________</w:t>
      </w:r>
    </w:p>
    <w:p w14:paraId="36F653B8">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37420E0E">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02B6156F">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甲　　方：____________________(采购人名称)</w:t>
      </w:r>
    </w:p>
    <w:p w14:paraId="28287D62">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41DC20F6">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700436B4">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乙　　方：____________________(</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名称)</w:t>
      </w:r>
    </w:p>
    <w:p w14:paraId="6C5E3BB2">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4B6580F0">
      <w:pPr>
        <w:pStyle w:val="7"/>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543200E4">
      <w:pPr>
        <w:pStyle w:val="7"/>
        <w:kinsoku/>
        <w:overflowPunct/>
        <w:topLinePunct w:val="0"/>
        <w:autoSpaceDE/>
        <w:autoSpaceDN/>
        <w:bidi w:val="0"/>
        <w:spacing w:line="360" w:lineRule="auto"/>
        <w:ind w:firstLine="420" w:firstLineChars="200"/>
        <w:jc w:val="center"/>
        <w:rPr>
          <w:rFonts w:hint="eastAsia" w:ascii="宋体" w:hAnsi="宋体" w:eastAsia="宋体" w:cs="宋体"/>
          <w:sz w:val="44"/>
          <w:szCs w:val="44"/>
          <w:highlight w:val="none"/>
          <w:lang w:val="en-US" w:eastAsia="zh-CN"/>
        </w:rPr>
      </w:pPr>
      <w:r>
        <w:rPr>
          <w:rFonts w:hint="eastAsia" w:ascii="宋体" w:hAnsi="宋体" w:eastAsia="宋体" w:cs="宋体"/>
          <w:b w:val="0"/>
          <w:bCs w:val="0"/>
          <w:color w:val="auto"/>
          <w:highlight w:val="none"/>
        </w:rPr>
        <w:t>签署日期：     年    月    日</w:t>
      </w:r>
    </w:p>
    <w:p w14:paraId="004AF469">
      <w:pPr>
        <w:kinsoku/>
        <w:overflowPunct/>
        <w:topLinePunct w:val="0"/>
        <w:autoSpaceDE/>
        <w:autoSpaceDN/>
        <w:bidi w:val="0"/>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br w:type="page"/>
      </w:r>
    </w:p>
    <w:p w14:paraId="34DFFADB">
      <w:pPr>
        <w:pStyle w:val="13"/>
        <w:pageBreakBefore w:val="0"/>
        <w:kinsoku/>
        <w:wordWrap/>
        <w:overflowPunct/>
        <w:topLinePunct w:val="0"/>
        <w:autoSpaceDE/>
        <w:autoSpaceDN/>
        <w:bidi w:val="0"/>
        <w:snapToGrid/>
        <w:spacing w:before="120" w:beforeLines="50" w:line="360" w:lineRule="auto"/>
        <w:ind w:firstLine="42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根据《中华人民共和国政府采购法》及实施条例、《中华人民共和国民法典》和甲方</w:t>
      </w:r>
      <w:r>
        <w:rPr>
          <w:rFonts w:hint="eastAsia" w:ascii="宋体" w:hAnsi="宋体" w:eastAsia="宋体" w:cs="宋体"/>
          <w:color w:val="000000"/>
          <w:sz w:val="20"/>
          <w:szCs w:val="20"/>
          <w:highlight w:val="none"/>
          <w:u w:val="single"/>
        </w:rPr>
        <w:t xml:space="preserve"> </w:t>
      </w:r>
      <w:r>
        <w:rPr>
          <w:rFonts w:hint="eastAsia" w:ascii="宋体" w:hAnsi="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rPr>
        <w:t>采购项目（采购项目编号：</w:t>
      </w:r>
      <w:r>
        <w:rPr>
          <w:rFonts w:hint="eastAsia" w:ascii="宋体" w:hAnsi="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rPr>
        <w:t>）的招标文件、投标文件等有关规定，为确保甲方采购项目的顺利实施，甲、乙双方在平等自愿原则下签订本合同，并共同遵守如下条款：</w:t>
      </w:r>
    </w:p>
    <w:p w14:paraId="7B8309FF">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outlineLvl w:val="1"/>
        <w:rPr>
          <w:rFonts w:hint="eastAsia" w:ascii="宋体" w:hAnsi="宋体" w:eastAsia="宋体" w:cs="宋体"/>
          <w:b/>
          <w:color w:val="000000"/>
          <w:sz w:val="20"/>
          <w:szCs w:val="20"/>
          <w:highlight w:val="none"/>
        </w:rPr>
      </w:pPr>
      <w:bookmarkStart w:id="0" w:name="_Toc21438"/>
      <w:r>
        <w:rPr>
          <w:rFonts w:hint="eastAsia" w:ascii="宋体" w:hAnsi="宋体" w:eastAsia="宋体" w:cs="宋体"/>
          <w:b/>
          <w:color w:val="000000"/>
          <w:sz w:val="20"/>
          <w:szCs w:val="20"/>
          <w:highlight w:val="none"/>
        </w:rPr>
        <w:t>项目基本情况</w:t>
      </w:r>
      <w:bookmarkEnd w:id="0"/>
    </w:p>
    <w:p w14:paraId="7FC48676">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1、对渭河鄠邑区段13.58km堤顶道路、园路、上堤路及堤坡进行日常保洁，保持堤顶、堤坡防护林整洁美观；</w:t>
      </w:r>
    </w:p>
    <w:p w14:paraId="422E449E">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2、对渭河鄠邑区段13.58km景观绿化养护；</w:t>
      </w:r>
    </w:p>
    <w:p w14:paraId="319410C0">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3、对渭河鄠邑区段13.58km已成堤防工程、防护林及管护设施维护；</w:t>
      </w:r>
    </w:p>
    <w:p w14:paraId="1C8084AD">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4、对渭河鄠邑区段13.58km堤顶工程进行日常维护；</w:t>
      </w:r>
    </w:p>
    <w:p w14:paraId="16869855">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5、对渭河鄠邑区段13.58km堤顶日常巡查。</w:t>
      </w:r>
    </w:p>
    <w:p w14:paraId="10C1E845">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outlineLvl w:val="1"/>
        <w:rPr>
          <w:rFonts w:hint="eastAsia" w:ascii="宋体" w:hAnsi="宋体" w:eastAsia="宋体" w:cs="宋体"/>
          <w:b/>
          <w:color w:val="000000"/>
          <w:sz w:val="20"/>
          <w:szCs w:val="20"/>
          <w:highlight w:val="none"/>
        </w:rPr>
      </w:pPr>
      <w:bookmarkStart w:id="1" w:name="_Toc29687"/>
      <w:r>
        <w:rPr>
          <w:rFonts w:hint="eastAsia" w:ascii="宋体" w:hAnsi="宋体" w:eastAsia="宋体" w:cs="宋体"/>
          <w:b/>
          <w:color w:val="000000"/>
          <w:sz w:val="20"/>
          <w:szCs w:val="20"/>
          <w:highlight w:val="none"/>
        </w:rPr>
        <w:t>合同期限</w:t>
      </w:r>
      <w:bookmarkEnd w:id="1"/>
    </w:p>
    <w:p w14:paraId="58F731E9">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kern w:val="2"/>
          <w:sz w:val="20"/>
          <w:szCs w:val="20"/>
          <w:highlight w:val="none"/>
          <w:lang w:val="en-US" w:eastAsia="zh-CN" w:bidi="ar-SA"/>
        </w:rPr>
      </w:pPr>
      <w:r>
        <w:rPr>
          <w:rFonts w:hint="eastAsia" w:ascii="宋体" w:hAnsi="宋体" w:eastAsia="宋体" w:cs="宋体"/>
          <w:color w:val="000000"/>
          <w:kern w:val="2"/>
          <w:sz w:val="20"/>
          <w:szCs w:val="20"/>
          <w:highlight w:val="none"/>
          <w:lang w:val="en-US" w:eastAsia="zh-CN" w:bidi="ar-SA"/>
        </w:rPr>
        <w:t>合同期：1年，</w:t>
      </w:r>
      <w:r>
        <w:rPr>
          <w:rFonts w:hint="eastAsia" w:ascii="宋体" w:hAnsi="宋体" w:cs="宋体"/>
          <w:color w:val="000000"/>
          <w:kern w:val="2"/>
          <w:sz w:val="20"/>
          <w:szCs w:val="20"/>
          <w:highlight w:val="none"/>
          <w:lang w:val="en-US" w:eastAsia="zh-CN" w:bidi="ar-SA"/>
        </w:rPr>
        <w:t xml:space="preserve">     </w:t>
      </w:r>
      <w:r>
        <w:rPr>
          <w:rFonts w:hint="eastAsia" w:ascii="宋体" w:hAnsi="宋体" w:eastAsia="宋体" w:cs="宋体"/>
          <w:color w:val="000000"/>
          <w:kern w:val="2"/>
          <w:sz w:val="20"/>
          <w:szCs w:val="20"/>
          <w:highlight w:val="none"/>
          <w:lang w:val="en-US" w:eastAsia="zh-CN" w:bidi="ar-SA"/>
        </w:rPr>
        <w:t>年    月    日-</w:t>
      </w:r>
      <w:r>
        <w:rPr>
          <w:rFonts w:hint="eastAsia" w:ascii="宋体" w:hAnsi="宋体" w:cs="宋体"/>
          <w:color w:val="000000"/>
          <w:kern w:val="2"/>
          <w:sz w:val="20"/>
          <w:szCs w:val="20"/>
          <w:highlight w:val="none"/>
          <w:lang w:val="en-US" w:eastAsia="zh-CN" w:bidi="ar-SA"/>
        </w:rPr>
        <w:t xml:space="preserve">     </w:t>
      </w:r>
      <w:r>
        <w:rPr>
          <w:rFonts w:hint="eastAsia" w:ascii="宋体" w:hAnsi="宋体" w:eastAsia="宋体" w:cs="宋体"/>
          <w:color w:val="000000"/>
          <w:kern w:val="2"/>
          <w:sz w:val="20"/>
          <w:szCs w:val="20"/>
          <w:highlight w:val="none"/>
          <w:lang w:val="en-US" w:eastAsia="zh-CN" w:bidi="ar-SA"/>
        </w:rPr>
        <w:t>年    月    日</w:t>
      </w:r>
    </w:p>
    <w:p w14:paraId="04584C63">
      <w:pPr>
        <w:pStyle w:val="6"/>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u w:val="single"/>
          <w:lang w:val="en-US" w:eastAsia="zh-CN"/>
        </w:rPr>
      </w:pPr>
      <w:r>
        <w:rPr>
          <w:rFonts w:hint="eastAsia" w:ascii="宋体" w:hAnsi="宋体" w:eastAsia="宋体" w:cs="宋体"/>
          <w:color w:val="000000"/>
          <w:kern w:val="2"/>
          <w:sz w:val="20"/>
          <w:szCs w:val="20"/>
          <w:highlight w:val="none"/>
          <w:lang w:val="en-US" w:eastAsia="zh-CN" w:bidi="ar-SA"/>
        </w:rPr>
        <w:t>（注：根据《财政部关于推进和完善服务项目政府采购有关问题的通知》（财库〔2014〕37号）有关规定，本项目在合同期满前，采购人将对中标人进行考核，根据服务满意程度，采购人有权决定是否续签合同，累计合同履行期限不超过3年。）</w:t>
      </w:r>
    </w:p>
    <w:p w14:paraId="4AE37906">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rPr>
          <w:rFonts w:hint="eastAsia" w:ascii="宋体" w:hAnsi="宋体" w:eastAsia="宋体" w:cs="宋体"/>
          <w:b/>
          <w:color w:val="000000"/>
          <w:sz w:val="20"/>
          <w:szCs w:val="20"/>
          <w:highlight w:val="none"/>
        </w:rPr>
      </w:pPr>
      <w:bookmarkStart w:id="2" w:name="_Toc211911348"/>
      <w:bookmarkStart w:id="3" w:name="_Toc239233914"/>
      <w:bookmarkStart w:id="4" w:name="_Toc283019214"/>
      <w:bookmarkStart w:id="5" w:name="_Toc238984975"/>
      <w:bookmarkStart w:id="6" w:name="_Toc225244852"/>
      <w:bookmarkStart w:id="7" w:name="_Toc247334841"/>
      <w:bookmarkStart w:id="8" w:name="_Toc237145406"/>
      <w:bookmarkStart w:id="9" w:name="_Toc185395249"/>
      <w:bookmarkStart w:id="10" w:name="_Toc282696226"/>
      <w:bookmarkStart w:id="11" w:name="_Toc241833903"/>
      <w:bookmarkStart w:id="12" w:name="_Toc286993786"/>
      <w:bookmarkStart w:id="13" w:name="_Toc251768862"/>
      <w:bookmarkStart w:id="14" w:name="_Toc239568418"/>
      <w:bookmarkStart w:id="15" w:name="_Toc211854449"/>
      <w:bookmarkStart w:id="16" w:name="_Toc232492928"/>
      <w:bookmarkStart w:id="17" w:name="_Toc212019594"/>
      <w:bookmarkStart w:id="18" w:name="_Toc225670751"/>
      <w:bookmarkStart w:id="19" w:name="_Toc225654644"/>
      <w:r>
        <w:rPr>
          <w:rFonts w:hint="eastAsia" w:ascii="宋体" w:hAnsi="宋体" w:eastAsia="宋体" w:cs="宋体"/>
          <w:b/>
          <w:color w:val="000000"/>
          <w:sz w:val="20"/>
          <w:szCs w:val="20"/>
          <w:highlight w:val="none"/>
        </w:rPr>
        <w:t>服务内容</w:t>
      </w:r>
    </w:p>
    <w:tbl>
      <w:tblPr>
        <w:tblStyle w:val="10"/>
        <w:tblW w:w="9916" w:type="dxa"/>
        <w:jc w:val="center"/>
        <w:tblLayout w:type="fixed"/>
        <w:tblCellMar>
          <w:top w:w="0" w:type="dxa"/>
          <w:left w:w="0" w:type="dxa"/>
          <w:bottom w:w="0" w:type="dxa"/>
          <w:right w:w="0" w:type="dxa"/>
        </w:tblCellMar>
      </w:tblPr>
      <w:tblGrid>
        <w:gridCol w:w="909"/>
        <w:gridCol w:w="2391"/>
        <w:gridCol w:w="880"/>
        <w:gridCol w:w="1555"/>
        <w:gridCol w:w="1658"/>
        <w:gridCol w:w="1482"/>
        <w:gridCol w:w="1041"/>
      </w:tblGrid>
      <w:tr w14:paraId="024E1B48">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11D31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序号</w:t>
            </w: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EFCA0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default" w:ascii="宋体" w:hAnsi="宋体" w:eastAsia="宋体" w:cs="宋体"/>
                <w:b/>
                <w:i w:val="0"/>
                <w:color w:val="auto"/>
                <w:sz w:val="20"/>
                <w:szCs w:val="20"/>
                <w:highlight w:val="none"/>
                <w:u w:val="none"/>
                <w:lang w:val="en-US"/>
              </w:rPr>
            </w:pPr>
            <w:r>
              <w:rPr>
                <w:rFonts w:hint="eastAsia" w:ascii="宋体" w:hAnsi="宋体" w:eastAsia="宋体" w:cs="宋体"/>
                <w:b/>
                <w:i w:val="0"/>
                <w:color w:val="auto"/>
                <w:kern w:val="0"/>
                <w:sz w:val="20"/>
                <w:szCs w:val="20"/>
                <w:highlight w:val="none"/>
                <w:u w:val="none"/>
                <w:lang w:val="en-US" w:eastAsia="zh-CN" w:bidi="ar"/>
              </w:rPr>
              <w:t>项目</w:t>
            </w:r>
            <w:r>
              <w:rPr>
                <w:rFonts w:hint="eastAsia" w:ascii="宋体" w:hAnsi="宋体" w:cs="宋体"/>
                <w:b/>
                <w:i w:val="0"/>
                <w:color w:val="auto"/>
                <w:kern w:val="0"/>
                <w:sz w:val="20"/>
                <w:szCs w:val="20"/>
                <w:highlight w:val="none"/>
                <w:u w:val="none"/>
                <w:lang w:val="en-US" w:eastAsia="zh-CN" w:bidi="ar"/>
              </w:rPr>
              <w:t>名称</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E29F7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单位</w:t>
            </w: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D11E7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cs="宋体"/>
                <w:b/>
                <w:i w:val="0"/>
                <w:color w:val="auto"/>
                <w:kern w:val="0"/>
                <w:sz w:val="20"/>
                <w:szCs w:val="20"/>
                <w:highlight w:val="none"/>
                <w:u w:val="none"/>
                <w:lang w:val="en-US" w:eastAsia="zh-CN" w:bidi="ar"/>
              </w:rPr>
              <w:t>工程</w:t>
            </w:r>
            <w:r>
              <w:rPr>
                <w:rFonts w:hint="eastAsia" w:ascii="宋体" w:hAnsi="宋体" w:eastAsia="宋体" w:cs="宋体"/>
                <w:b/>
                <w:i w:val="0"/>
                <w:color w:val="auto"/>
                <w:kern w:val="0"/>
                <w:sz w:val="20"/>
                <w:szCs w:val="20"/>
                <w:highlight w:val="none"/>
                <w:u w:val="none"/>
                <w:lang w:val="en-US" w:eastAsia="zh-CN" w:bidi="ar"/>
              </w:rPr>
              <w:t>量</w:t>
            </w: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F8BE3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单价（元）</w:t>
            </w: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10DE96">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合计</w:t>
            </w: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E5E97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备注</w:t>
            </w:r>
          </w:p>
        </w:tc>
      </w:tr>
      <w:tr w14:paraId="3D356624">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12BF6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F255D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lang w:eastAsia="zh-CN"/>
              </w:rPr>
            </w:pPr>
            <w:r>
              <w:rPr>
                <w:rFonts w:hint="eastAsia" w:ascii="宋体" w:hAnsi="宋体" w:eastAsia="宋体" w:cs="宋体"/>
                <w:b/>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AD73A9">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B28F3B">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329BF">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56340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14346C">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r w14:paraId="23EA8746">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18F3D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B9175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auto"/>
                <w:sz w:val="20"/>
                <w:szCs w:val="20"/>
                <w:highlight w:val="none"/>
                <w:u w:val="none"/>
                <w:lang w:eastAsia="zh-CN"/>
              </w:rPr>
            </w:pPr>
            <w:r>
              <w:rPr>
                <w:rFonts w:hint="eastAsia" w:ascii="宋体" w:hAnsi="宋体" w:eastAsia="宋体" w:cs="宋体"/>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6B9D8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1B69A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73DB2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93DBD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900E80">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r w14:paraId="01E63C66">
        <w:tblPrEx>
          <w:tblCellMar>
            <w:top w:w="0" w:type="dxa"/>
            <w:left w:w="0" w:type="dxa"/>
            <w:bottom w:w="0" w:type="dxa"/>
            <w:right w:w="0" w:type="dxa"/>
          </w:tblCellMar>
        </w:tblPrEx>
        <w:trPr>
          <w:trHeight w:val="527"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0DE48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522EE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auto"/>
                <w:sz w:val="20"/>
                <w:szCs w:val="20"/>
                <w:highlight w:val="none"/>
                <w:u w:val="none"/>
                <w:lang w:eastAsia="zh-CN"/>
              </w:rPr>
            </w:pPr>
            <w:r>
              <w:rPr>
                <w:rFonts w:hint="eastAsia" w:ascii="宋体" w:hAnsi="宋体" w:eastAsia="宋体" w:cs="宋体"/>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04813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FBAAD0">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2521C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0FF17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8D9899">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bl>
    <w:p w14:paraId="7BD47A88">
      <w:pPr>
        <w:pageBreakBefore w:val="0"/>
        <w:numPr>
          <w:ilvl w:val="0"/>
          <w:numId w:val="1"/>
        </w:numPr>
        <w:kinsoku/>
        <w:wordWrap/>
        <w:overflowPunct/>
        <w:topLinePunct w:val="0"/>
        <w:autoSpaceDE/>
        <w:autoSpaceDN/>
        <w:bidi w:val="0"/>
        <w:snapToGrid/>
        <w:spacing w:before="120" w:beforeLines="50" w:after="120" w:afterLines="50" w:line="360" w:lineRule="auto"/>
        <w:ind w:left="1656" w:leftChars="0" w:hanging="1094" w:firstLineChars="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服务费用</w:t>
      </w:r>
    </w:p>
    <w:p w14:paraId="4C2878C7">
      <w:pPr>
        <w:pStyle w:val="2"/>
        <w:pageBreakBefore w:val="0"/>
        <w:kinsoku/>
        <w:wordWrap/>
        <w:overflowPunct/>
        <w:topLinePunct w:val="0"/>
        <w:autoSpaceDE/>
        <w:autoSpaceDN/>
        <w:bidi w:val="0"/>
        <w:snapToGrid/>
        <w:spacing w:before="0" w:after="0" w:line="360" w:lineRule="auto"/>
        <w:ind w:firstLine="392" w:firstLineChars="196"/>
        <w:rPr>
          <w:rFonts w:hint="eastAsia" w:ascii="宋体" w:hAnsi="宋体" w:eastAsia="宋体" w:cs="宋体"/>
          <w:b w:val="0"/>
          <w:color w:val="000000"/>
          <w:sz w:val="20"/>
          <w:szCs w:val="20"/>
          <w:highlight w:val="none"/>
        </w:rPr>
      </w:pPr>
      <w:r>
        <w:rPr>
          <w:rFonts w:hint="eastAsia" w:ascii="宋体" w:hAnsi="宋体" w:eastAsia="宋体" w:cs="宋体"/>
          <w:b w:val="0"/>
          <w:color w:val="000000"/>
          <w:sz w:val="20"/>
          <w:szCs w:val="20"/>
          <w:highlight w:val="none"/>
        </w:rPr>
        <w:t xml:space="preserve">  </w:t>
      </w:r>
      <w:bookmarkStart w:id="20" w:name="_Toc15645"/>
      <w:r>
        <w:rPr>
          <w:rFonts w:hint="eastAsia" w:ascii="宋体" w:hAnsi="宋体" w:eastAsia="宋体" w:cs="宋体"/>
          <w:b w:val="0"/>
          <w:color w:val="000000"/>
          <w:sz w:val="20"/>
          <w:szCs w:val="20"/>
          <w:highlight w:val="none"/>
        </w:rPr>
        <w:t>1.服务总费用为人民币（大写）：</w:t>
      </w:r>
      <w:r>
        <w:rPr>
          <w:rFonts w:hint="eastAsia" w:ascii="宋体" w:hAnsi="宋体" w:eastAsia="宋体" w:cs="宋体"/>
          <w:b w:val="0"/>
          <w:color w:val="000000"/>
          <w:sz w:val="20"/>
          <w:szCs w:val="20"/>
          <w:highlight w:val="none"/>
          <w:u w:val="single"/>
        </w:rPr>
        <w:t xml:space="preserve">             </w:t>
      </w:r>
      <w:r>
        <w:rPr>
          <w:rFonts w:hint="eastAsia" w:ascii="宋体" w:hAnsi="宋体" w:eastAsia="宋体" w:cs="宋体"/>
          <w:b w:val="0"/>
          <w:color w:val="000000"/>
          <w:sz w:val="20"/>
          <w:szCs w:val="20"/>
          <w:highlight w:val="none"/>
        </w:rPr>
        <w:t>元， ￥</w:t>
      </w:r>
      <w:r>
        <w:rPr>
          <w:rFonts w:hint="eastAsia" w:ascii="宋体" w:hAnsi="宋体" w:eastAsia="宋体" w:cs="宋体"/>
          <w:b w:val="0"/>
          <w:color w:val="000000"/>
          <w:sz w:val="20"/>
          <w:szCs w:val="20"/>
          <w:highlight w:val="none"/>
          <w:u w:val="single"/>
        </w:rPr>
        <w:t xml:space="preserve">           </w:t>
      </w:r>
      <w:r>
        <w:rPr>
          <w:rFonts w:hint="eastAsia" w:ascii="宋体" w:hAnsi="宋体" w:eastAsia="宋体" w:cs="宋体"/>
          <w:b w:val="0"/>
          <w:color w:val="000000"/>
          <w:sz w:val="20"/>
          <w:szCs w:val="20"/>
          <w:highlight w:val="none"/>
        </w:rPr>
        <w:t>。</w:t>
      </w:r>
      <w:bookmarkEnd w:id="20"/>
    </w:p>
    <w:p w14:paraId="20AA5957">
      <w:pPr>
        <w:pageBreakBefore w:val="0"/>
        <w:kinsoku/>
        <w:wordWrap/>
        <w:overflowPunct/>
        <w:topLinePunct w:val="0"/>
        <w:autoSpaceDE/>
        <w:autoSpaceDN/>
        <w:bidi w:val="0"/>
        <w:snapToGrid/>
        <w:spacing w:line="360" w:lineRule="auto"/>
        <w:ind w:firstLine="392" w:firstLineChars="196"/>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2.本项目服务费用由以下组成：</w:t>
      </w:r>
    </w:p>
    <w:p w14:paraId="2066DAE0">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（1）XX万元；</w:t>
      </w:r>
    </w:p>
    <w:p w14:paraId="32B42149">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（2）XX万元；</w:t>
      </w:r>
    </w:p>
    <w:p w14:paraId="6BBB35BD">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（3）XX万元。</w:t>
      </w:r>
    </w:p>
    <w:p w14:paraId="52B2268C">
      <w:pPr>
        <w:pageBreakBefore w:val="0"/>
        <w:kinsoku/>
        <w:wordWrap/>
        <w:overflowPunct/>
        <w:topLinePunct w:val="0"/>
        <w:autoSpaceDE/>
        <w:autoSpaceDN/>
        <w:bidi w:val="0"/>
        <w:snapToGrid/>
        <w:spacing w:line="360" w:lineRule="auto"/>
        <w:ind w:firstLine="500" w:firstLineChars="25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p>
    <w:p w14:paraId="71CAB366">
      <w:pPr>
        <w:pageBreakBefore w:val="0"/>
        <w:kinsoku/>
        <w:wordWrap/>
        <w:overflowPunct/>
        <w:topLinePunct w:val="0"/>
        <w:autoSpaceDE/>
        <w:autoSpaceDN/>
        <w:bidi w:val="0"/>
        <w:snapToGrid/>
        <w:spacing w:line="360" w:lineRule="auto"/>
        <w:ind w:firstLine="500" w:firstLineChars="250"/>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rPr>
        <w:t>.本合同</w:t>
      </w:r>
      <w:r>
        <w:rPr>
          <w:rFonts w:hint="eastAsia" w:ascii="宋体" w:hAnsi="宋体" w:cs="宋体"/>
          <w:color w:val="000000"/>
          <w:sz w:val="20"/>
          <w:szCs w:val="20"/>
          <w:highlight w:val="none"/>
          <w:lang w:val="en-US" w:eastAsia="zh-CN"/>
        </w:rPr>
        <w:t>为固定综合单价合同</w:t>
      </w:r>
      <w:r>
        <w:rPr>
          <w:rFonts w:hint="eastAsia" w:ascii="宋体" w:hAnsi="宋体" w:eastAsia="宋体" w:cs="宋体"/>
          <w:color w:val="000000"/>
          <w:sz w:val="20"/>
          <w:szCs w:val="20"/>
          <w:highlight w:val="none"/>
        </w:rPr>
        <w:t>。</w:t>
      </w:r>
    </w:p>
    <w:p w14:paraId="078D5956">
      <w:pPr>
        <w:pageBreakBefore w:val="0"/>
        <w:kinsoku/>
        <w:wordWrap/>
        <w:overflowPunct/>
        <w:topLinePunct w:val="0"/>
        <w:autoSpaceDE/>
        <w:autoSpaceDN/>
        <w:bidi w:val="0"/>
        <w:snapToGrid/>
        <w:spacing w:before="120" w:beforeLines="50" w:after="120" w:afterLines="50" w:line="360" w:lineRule="auto"/>
        <w:ind w:firstLine="394" w:firstLineChars="196"/>
        <w:outlineLvl w:val="1"/>
        <w:rPr>
          <w:rFonts w:hint="eastAsia" w:ascii="宋体" w:hAnsi="宋体" w:eastAsia="宋体" w:cs="宋体"/>
          <w:b/>
          <w:color w:val="000000"/>
          <w:sz w:val="20"/>
          <w:szCs w:val="20"/>
          <w:highlight w:val="none"/>
        </w:rPr>
      </w:pPr>
      <w:bookmarkStart w:id="21" w:name="_Toc28709"/>
      <w:r>
        <w:rPr>
          <w:rFonts w:hint="eastAsia" w:ascii="宋体" w:hAnsi="宋体" w:eastAsia="宋体" w:cs="宋体"/>
          <w:b/>
          <w:color w:val="000000"/>
          <w:sz w:val="20"/>
          <w:szCs w:val="20"/>
          <w:highlight w:val="none"/>
        </w:rPr>
        <w:t>第五条  服务费支付方式</w:t>
      </w:r>
      <w:bookmarkEnd w:id="21"/>
    </w:p>
    <w:p w14:paraId="50F8D2FE">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 xml:space="preserve">付款比例：合同签订生效后，达到付款条件起 </w:t>
      </w:r>
      <w:r>
        <w:rPr>
          <w:rFonts w:hint="eastAsia" w:ascii="宋体" w:hAnsi="宋体" w:cs="宋体"/>
          <w:bCs/>
          <w:color w:val="000000"/>
          <w:sz w:val="20"/>
          <w:szCs w:val="20"/>
          <w:highlight w:val="none"/>
          <w:lang w:val="en-US" w:eastAsia="zh-CN"/>
        </w:rPr>
        <w:t>30</w:t>
      </w:r>
      <w:r>
        <w:rPr>
          <w:rFonts w:hint="eastAsia" w:ascii="宋体" w:hAnsi="宋体" w:eastAsia="宋体" w:cs="宋体"/>
          <w:bCs/>
          <w:color w:val="000000"/>
          <w:sz w:val="20"/>
          <w:szCs w:val="20"/>
          <w:highlight w:val="none"/>
        </w:rPr>
        <w:t xml:space="preserve"> 日内，支付合同总金额的 </w:t>
      </w:r>
      <w:r>
        <w:rPr>
          <w:rFonts w:hint="eastAsia" w:ascii="宋体" w:hAnsi="宋体" w:cs="宋体"/>
          <w:bCs/>
          <w:color w:val="000000"/>
          <w:sz w:val="20"/>
          <w:szCs w:val="20"/>
          <w:highlight w:val="none"/>
          <w:lang w:val="en-US" w:eastAsia="zh-CN"/>
        </w:rPr>
        <w:t>4</w:t>
      </w:r>
      <w:r>
        <w:rPr>
          <w:rFonts w:hint="eastAsia" w:ascii="宋体" w:hAnsi="宋体" w:eastAsia="宋体" w:cs="宋体"/>
          <w:bCs/>
          <w:color w:val="000000"/>
          <w:sz w:val="20"/>
          <w:szCs w:val="20"/>
          <w:highlight w:val="none"/>
        </w:rPr>
        <w:t>0.00%，剩余资金按照养护进度按</w:t>
      </w:r>
      <w:r>
        <w:rPr>
          <w:rFonts w:hint="eastAsia" w:ascii="宋体" w:hAnsi="宋体" w:cs="宋体"/>
          <w:bCs/>
          <w:color w:val="000000"/>
          <w:sz w:val="20"/>
          <w:szCs w:val="20"/>
          <w:highlight w:val="none"/>
          <w:lang w:val="en-US" w:eastAsia="zh-CN"/>
        </w:rPr>
        <w:t>季度</w:t>
      </w:r>
      <w:r>
        <w:rPr>
          <w:rFonts w:hint="eastAsia" w:ascii="宋体" w:hAnsi="宋体" w:eastAsia="宋体" w:cs="宋体"/>
          <w:bCs/>
          <w:color w:val="000000"/>
          <w:sz w:val="20"/>
          <w:szCs w:val="20"/>
          <w:highlight w:val="none"/>
        </w:rPr>
        <w:t>支付，达到付款条件之日起15个工作日内支付，每</w:t>
      </w:r>
      <w:r>
        <w:rPr>
          <w:rFonts w:hint="eastAsia" w:ascii="宋体" w:hAnsi="宋体" w:cs="宋体"/>
          <w:bCs/>
          <w:color w:val="000000"/>
          <w:sz w:val="20"/>
          <w:szCs w:val="20"/>
          <w:highlight w:val="none"/>
          <w:lang w:val="en-US" w:eastAsia="zh-CN"/>
        </w:rPr>
        <w:t>季度</w:t>
      </w:r>
      <w:r>
        <w:rPr>
          <w:rFonts w:hint="eastAsia" w:ascii="宋体" w:hAnsi="宋体" w:eastAsia="宋体" w:cs="宋体"/>
          <w:bCs/>
          <w:color w:val="000000"/>
          <w:sz w:val="20"/>
          <w:szCs w:val="20"/>
          <w:highlight w:val="none"/>
        </w:rPr>
        <w:t>支付合同总金额的</w:t>
      </w:r>
      <w:r>
        <w:rPr>
          <w:rFonts w:hint="eastAsia" w:ascii="宋体" w:hAnsi="宋体" w:cs="宋体"/>
          <w:bCs/>
          <w:color w:val="000000"/>
          <w:sz w:val="20"/>
          <w:szCs w:val="20"/>
          <w:highlight w:val="none"/>
          <w:lang w:val="en-US" w:eastAsia="zh-CN"/>
        </w:rPr>
        <w:t>15</w:t>
      </w:r>
      <w:r>
        <w:rPr>
          <w:rFonts w:hint="eastAsia" w:ascii="宋体" w:hAnsi="宋体" w:eastAsia="宋体" w:cs="宋体"/>
          <w:bCs/>
          <w:color w:val="000000"/>
          <w:sz w:val="20"/>
          <w:szCs w:val="20"/>
          <w:highlight w:val="none"/>
        </w:rPr>
        <w:t>%</w:t>
      </w:r>
      <w:r>
        <w:rPr>
          <w:rFonts w:hint="eastAsia" w:ascii="宋体" w:hAnsi="宋体" w:eastAsia="宋体" w:cs="宋体"/>
          <w:color w:val="000000"/>
          <w:sz w:val="20"/>
          <w:szCs w:val="20"/>
          <w:highlight w:val="none"/>
        </w:rPr>
        <w:t>。</w:t>
      </w:r>
    </w:p>
    <w:p w14:paraId="5D02F776">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结算方式：银行转账。</w:t>
      </w:r>
    </w:p>
    <w:p w14:paraId="70283FD6">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结算单位：由甲方负责结算，乙方开具合同总价数的全额发票交甲方。</w:t>
      </w:r>
    </w:p>
    <w:p w14:paraId="6688603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2" w:name="_Toc18386"/>
      <w:r>
        <w:rPr>
          <w:rFonts w:hint="eastAsia" w:ascii="宋体" w:hAnsi="宋体" w:eastAsia="宋体" w:cs="宋体"/>
          <w:b/>
          <w:color w:val="000000"/>
          <w:sz w:val="20"/>
          <w:szCs w:val="20"/>
          <w:highlight w:val="none"/>
        </w:rPr>
        <w:t>第六条  考核与奖惩原则</w:t>
      </w:r>
      <w:bookmarkEnd w:id="22"/>
    </w:p>
    <w:p w14:paraId="1DB5124F">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1.本项目履行期间，对乙方依照养护内容、要求及标准由甲方组织相关人员进行考核，考核每</w:t>
      </w:r>
      <w:r>
        <w:rPr>
          <w:rFonts w:hint="eastAsia" w:ascii="宋体" w:hAnsi="宋体" w:cs="宋体"/>
          <w:color w:val="000000"/>
          <w:sz w:val="20"/>
          <w:szCs w:val="20"/>
          <w:highlight w:val="none"/>
          <w:lang w:val="en-US" w:eastAsia="zh-CN"/>
        </w:rPr>
        <w:t>季度</w:t>
      </w:r>
      <w:r>
        <w:rPr>
          <w:rFonts w:hint="eastAsia" w:ascii="宋体" w:hAnsi="宋体" w:eastAsia="宋体" w:cs="宋体"/>
          <w:color w:val="000000"/>
          <w:sz w:val="20"/>
          <w:szCs w:val="20"/>
          <w:highlight w:val="none"/>
          <w:lang w:val="en-US" w:eastAsia="zh-CN"/>
        </w:rPr>
        <w:t>进行一次，考核时间为</w:t>
      </w:r>
      <w:r>
        <w:rPr>
          <w:rFonts w:hint="eastAsia" w:ascii="宋体" w:hAnsi="宋体" w:eastAsia="宋体" w:cs="宋体"/>
          <w:sz w:val="20"/>
          <w:szCs w:val="20"/>
        </w:rPr>
        <w:t>每季度末月 2</w:t>
      </w:r>
      <w:r>
        <w:rPr>
          <w:rFonts w:hint="eastAsia" w:ascii="宋体" w:hAnsi="宋体" w:cs="宋体"/>
          <w:sz w:val="20"/>
          <w:szCs w:val="20"/>
          <w:lang w:val="en-US" w:eastAsia="zh-CN"/>
        </w:rPr>
        <w:t>5</w:t>
      </w:r>
      <w:r>
        <w:rPr>
          <w:rFonts w:hint="eastAsia" w:ascii="宋体" w:hAnsi="宋体" w:eastAsia="宋体" w:cs="宋体"/>
          <w:sz w:val="20"/>
          <w:szCs w:val="20"/>
        </w:rPr>
        <w:t xml:space="preserve"> 日前</w:t>
      </w:r>
      <w:r>
        <w:rPr>
          <w:rFonts w:hint="eastAsia" w:ascii="宋体" w:hAnsi="宋体" w:eastAsia="宋体" w:cs="宋体"/>
          <w:color w:val="000000"/>
          <w:sz w:val="20"/>
          <w:szCs w:val="20"/>
          <w:highlight w:val="none"/>
          <w:lang w:val="en-US" w:eastAsia="zh-CN"/>
        </w:rPr>
        <w:t>，考核以本项目招标文件中的服务内容及标准为依据，采用打分的形式（百分制），考核结果由乙方与甲方签字确认（</w:t>
      </w:r>
      <w:r>
        <w:rPr>
          <w:rFonts w:hint="eastAsia" w:ascii="宋体" w:hAnsi="宋体" w:cs="宋体"/>
          <w:color w:val="000000"/>
          <w:sz w:val="20"/>
          <w:szCs w:val="20"/>
          <w:highlight w:val="none"/>
          <w:lang w:val="en-US" w:eastAsia="zh-CN"/>
        </w:rPr>
        <w:t>季</w:t>
      </w:r>
      <w:r>
        <w:rPr>
          <w:rFonts w:hint="eastAsia" w:ascii="宋体" w:hAnsi="宋体" w:eastAsia="宋体" w:cs="宋体"/>
          <w:color w:val="000000"/>
          <w:sz w:val="20"/>
          <w:szCs w:val="20"/>
          <w:highlight w:val="none"/>
          <w:lang w:val="en-US" w:eastAsia="zh-CN"/>
        </w:rPr>
        <w:t>度考核表见附件）。</w:t>
      </w:r>
    </w:p>
    <w:p w14:paraId="30C44254">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2.考核结果分为A、B、C、D四级，100分-90分为A，89分-80</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为B，79</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-70</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分为C，70分以下为D。甲方根据考核结果按相应比例计算后支付服务费，考核结果为A足额支付当</w:t>
      </w:r>
      <w:r>
        <w:rPr>
          <w:rFonts w:hint="eastAsia" w:ascii="宋体" w:hAnsi="宋体" w:cs="宋体"/>
          <w:color w:val="000000"/>
          <w:sz w:val="20"/>
          <w:szCs w:val="20"/>
          <w:highlight w:val="none"/>
          <w:lang w:val="en-US" w:eastAsia="zh-CN"/>
        </w:rPr>
        <w:t>季</w:t>
      </w:r>
      <w:r>
        <w:rPr>
          <w:rFonts w:hint="eastAsia" w:ascii="宋体" w:hAnsi="宋体" w:eastAsia="宋体" w:cs="宋体"/>
          <w:color w:val="000000"/>
          <w:sz w:val="20"/>
          <w:szCs w:val="20"/>
          <w:highlight w:val="none"/>
          <w:lang w:val="en-US" w:eastAsia="zh-CN"/>
        </w:rPr>
        <w:t>服务费，考核结果为B支付当</w:t>
      </w:r>
      <w:r>
        <w:rPr>
          <w:rFonts w:hint="eastAsia" w:ascii="宋体" w:hAnsi="宋体" w:cs="宋体"/>
          <w:color w:val="000000"/>
          <w:sz w:val="20"/>
          <w:szCs w:val="20"/>
          <w:highlight w:val="none"/>
          <w:lang w:val="en-US" w:eastAsia="zh-CN"/>
        </w:rPr>
        <w:t>季</w:t>
      </w:r>
      <w:r>
        <w:rPr>
          <w:rFonts w:hint="eastAsia" w:ascii="宋体" w:hAnsi="宋体" w:eastAsia="宋体" w:cs="宋体"/>
          <w:color w:val="000000"/>
          <w:sz w:val="20"/>
          <w:szCs w:val="20"/>
          <w:highlight w:val="none"/>
          <w:lang w:val="en-US" w:eastAsia="zh-CN"/>
        </w:rPr>
        <w:t>服务费的9</w:t>
      </w:r>
      <w:r>
        <w:rPr>
          <w:rFonts w:hint="eastAsia" w:ascii="宋体" w:hAnsi="宋体" w:cs="宋体"/>
          <w:color w:val="000000"/>
          <w:sz w:val="20"/>
          <w:szCs w:val="20"/>
          <w:highlight w:val="none"/>
          <w:lang w:val="en-US" w:eastAsia="zh-CN"/>
        </w:rPr>
        <w:t>0</w:t>
      </w:r>
      <w:r>
        <w:rPr>
          <w:rFonts w:hint="eastAsia" w:ascii="宋体" w:hAnsi="宋体" w:eastAsia="宋体" w:cs="宋体"/>
          <w:color w:val="000000"/>
          <w:sz w:val="20"/>
          <w:szCs w:val="20"/>
          <w:highlight w:val="none"/>
          <w:lang w:val="en-US" w:eastAsia="zh-CN"/>
        </w:rPr>
        <w:t>%，考核结果为C支付当</w:t>
      </w:r>
      <w:r>
        <w:rPr>
          <w:rFonts w:hint="eastAsia" w:ascii="宋体" w:hAnsi="宋体" w:cs="宋体"/>
          <w:color w:val="000000"/>
          <w:sz w:val="20"/>
          <w:szCs w:val="20"/>
          <w:highlight w:val="none"/>
          <w:lang w:val="en-US" w:eastAsia="zh-CN"/>
        </w:rPr>
        <w:t>季</w:t>
      </w:r>
      <w:r>
        <w:rPr>
          <w:rFonts w:hint="eastAsia" w:ascii="宋体" w:hAnsi="宋体" w:eastAsia="宋体" w:cs="宋体"/>
          <w:color w:val="000000"/>
          <w:sz w:val="20"/>
          <w:szCs w:val="20"/>
          <w:highlight w:val="none"/>
          <w:lang w:val="en-US" w:eastAsia="zh-CN"/>
        </w:rPr>
        <w:t>服务费的</w:t>
      </w:r>
      <w:r>
        <w:rPr>
          <w:rFonts w:hint="eastAsia" w:ascii="宋体" w:hAnsi="宋体" w:cs="宋体"/>
          <w:color w:val="000000"/>
          <w:sz w:val="20"/>
          <w:szCs w:val="20"/>
          <w:highlight w:val="none"/>
          <w:lang w:val="en-US" w:eastAsia="zh-CN"/>
        </w:rPr>
        <w:t>8</w:t>
      </w:r>
      <w:r>
        <w:rPr>
          <w:rFonts w:hint="eastAsia" w:ascii="宋体" w:hAnsi="宋体" w:eastAsia="宋体" w:cs="宋体"/>
          <w:color w:val="000000"/>
          <w:sz w:val="20"/>
          <w:szCs w:val="20"/>
          <w:highlight w:val="none"/>
          <w:lang w:val="en-US" w:eastAsia="zh-CN"/>
        </w:rPr>
        <w:t>0%，考核结果为D</w:t>
      </w:r>
      <w:r>
        <w:rPr>
          <w:rFonts w:hint="eastAsia" w:ascii="宋体" w:hAnsi="宋体" w:eastAsia="宋体" w:cs="宋体"/>
          <w:sz w:val="20"/>
          <w:szCs w:val="20"/>
        </w:rPr>
        <w:t>暂缓支付对应季度进度款</w:t>
      </w:r>
      <w:r>
        <w:rPr>
          <w:rFonts w:hint="eastAsia" w:ascii="宋体" w:hAnsi="宋体" w:eastAsia="宋体" w:cs="宋体"/>
          <w:color w:val="000000"/>
          <w:sz w:val="20"/>
          <w:szCs w:val="20"/>
          <w:highlight w:val="none"/>
          <w:lang w:val="en-US" w:eastAsia="zh-CN"/>
        </w:rPr>
        <w:t>。</w:t>
      </w:r>
    </w:p>
    <w:p w14:paraId="46188245">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3.合同期内</w:t>
      </w:r>
      <w:r>
        <w:rPr>
          <w:rFonts w:hint="eastAsia" w:ascii="宋体" w:hAnsi="宋体" w:cs="宋体"/>
          <w:color w:val="000000"/>
          <w:sz w:val="20"/>
          <w:szCs w:val="20"/>
          <w:highlight w:val="none"/>
          <w:lang w:val="en-US" w:eastAsia="zh-CN"/>
        </w:rPr>
        <w:t>季</w:t>
      </w:r>
      <w:r>
        <w:rPr>
          <w:rFonts w:hint="eastAsia" w:ascii="宋体" w:hAnsi="宋体" w:eastAsia="宋体" w:cs="宋体"/>
          <w:color w:val="000000"/>
          <w:sz w:val="20"/>
          <w:szCs w:val="20"/>
          <w:highlight w:val="none"/>
          <w:lang w:val="en-US" w:eastAsia="zh-CN"/>
        </w:rPr>
        <w:t>度考核连续两次考核结果为D，甲方有权无条件提前终止合同，并由乙方承担提前终止合同造成的一切损失。</w:t>
      </w:r>
    </w:p>
    <w:p w14:paraId="4516221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3" w:name="_Toc23023"/>
      <w:r>
        <w:rPr>
          <w:rFonts w:hint="eastAsia" w:ascii="宋体" w:hAnsi="宋体" w:eastAsia="宋体" w:cs="宋体"/>
          <w:b/>
          <w:color w:val="000000"/>
          <w:sz w:val="20"/>
          <w:szCs w:val="20"/>
          <w:highlight w:val="none"/>
        </w:rPr>
        <w:t>第七条  无产权瑕疵条款</w:t>
      </w:r>
      <w:bookmarkEnd w:id="23"/>
    </w:p>
    <w:p w14:paraId="6EA59684">
      <w:pPr>
        <w:pageBreakBefore w:val="0"/>
        <w:tabs>
          <w:tab w:val="left" w:pos="144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乙方保证所提供的服务的所有权完全属于乙方且无任何抵押、查封等产权瑕疵。如有产权瑕疵的，视为乙方违约。乙方应负担由此而产生的一切损失。</w:t>
      </w:r>
    </w:p>
    <w:p w14:paraId="4B9C1890">
      <w:pPr>
        <w:pageBreakBefore w:val="0"/>
        <w:widowControl/>
        <w:kinsoku/>
        <w:wordWrap/>
        <w:overflowPunct/>
        <w:topLinePunct w:val="0"/>
        <w:autoSpaceDE/>
        <w:autoSpaceDN/>
        <w:bidi w:val="0"/>
        <w:snapToGrid/>
        <w:spacing w:line="360" w:lineRule="auto"/>
        <w:ind w:firstLine="402" w:firstLineChars="200"/>
        <w:jc w:val="left"/>
        <w:rPr>
          <w:rFonts w:hint="eastAsia" w:ascii="宋体" w:hAnsi="宋体" w:eastAsia="宋体" w:cs="宋体"/>
          <w:b/>
          <w:color w:val="000000"/>
          <w:sz w:val="20"/>
          <w:szCs w:val="20"/>
          <w:highlight w:val="none"/>
        </w:rPr>
      </w:pPr>
      <w:bookmarkStart w:id="24" w:name="_Toc4663"/>
      <w:r>
        <w:rPr>
          <w:rFonts w:hint="eastAsia" w:ascii="宋体" w:hAnsi="宋体" w:eastAsia="宋体" w:cs="宋体"/>
          <w:b/>
          <w:color w:val="000000"/>
          <w:sz w:val="20"/>
          <w:szCs w:val="20"/>
          <w:highlight w:val="none"/>
        </w:rPr>
        <w:t>第</w:t>
      </w:r>
      <w:r>
        <w:rPr>
          <w:rFonts w:hint="eastAsia" w:ascii="宋体" w:hAnsi="宋体" w:cs="宋体"/>
          <w:b/>
          <w:color w:val="000000"/>
          <w:sz w:val="20"/>
          <w:szCs w:val="20"/>
          <w:highlight w:val="none"/>
          <w:lang w:val="en-US" w:eastAsia="zh-CN"/>
        </w:rPr>
        <w:t>八</w:t>
      </w:r>
      <w:r>
        <w:rPr>
          <w:rFonts w:hint="eastAsia" w:ascii="宋体" w:hAnsi="宋体" w:eastAsia="宋体" w:cs="宋体"/>
          <w:b/>
          <w:color w:val="000000"/>
          <w:sz w:val="20"/>
          <w:szCs w:val="20"/>
          <w:highlight w:val="none"/>
        </w:rPr>
        <w:t>条  甲方的权利和义务</w:t>
      </w:r>
      <w:bookmarkEnd w:id="24"/>
    </w:p>
    <w:p w14:paraId="16FFB266">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13AFFB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2.甲方有权依据双方签订的考评办法对乙方提供的服务进行定期考评。当考评结果未达到标准时，有权依据考评办法约定的数额扣除履约保证金。</w:t>
      </w:r>
    </w:p>
    <w:p w14:paraId="56B1425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3.负责检查监督乙方管理工作的实施及制度的执行情况。</w:t>
      </w:r>
    </w:p>
    <w:p w14:paraId="4CC0C285">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4.根据本合同规定，按时向乙方支付应付服务费用。</w:t>
      </w:r>
    </w:p>
    <w:p w14:paraId="765322D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5.国家法律、法规所规定由甲方承担的其它责任。</w:t>
      </w:r>
    </w:p>
    <w:p w14:paraId="773F901E">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5" w:name="_Toc14322"/>
      <w:r>
        <w:rPr>
          <w:rFonts w:hint="eastAsia" w:ascii="宋体" w:hAnsi="宋体" w:eastAsia="宋体" w:cs="宋体"/>
          <w:b/>
          <w:color w:val="000000"/>
          <w:sz w:val="20"/>
          <w:szCs w:val="20"/>
          <w:highlight w:val="none"/>
        </w:rPr>
        <w:t>第</w:t>
      </w:r>
      <w:r>
        <w:rPr>
          <w:rFonts w:hint="eastAsia" w:ascii="宋体" w:hAnsi="宋体" w:cs="宋体"/>
          <w:b/>
          <w:color w:val="000000"/>
          <w:sz w:val="20"/>
          <w:szCs w:val="20"/>
          <w:highlight w:val="none"/>
          <w:lang w:val="en-US" w:eastAsia="zh-CN"/>
        </w:rPr>
        <w:t>九</w:t>
      </w:r>
      <w:r>
        <w:rPr>
          <w:rFonts w:hint="eastAsia" w:ascii="宋体" w:hAnsi="宋体" w:eastAsia="宋体" w:cs="宋体"/>
          <w:b/>
          <w:color w:val="000000"/>
          <w:sz w:val="20"/>
          <w:szCs w:val="20"/>
          <w:highlight w:val="none"/>
        </w:rPr>
        <w:t>条  乙方的权利和义务</w:t>
      </w:r>
      <w:bookmarkEnd w:id="25"/>
    </w:p>
    <w:p w14:paraId="20C413E6">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1.对本合同规定的委托服务范围内的项目享有管理权及服务义务。</w:t>
      </w:r>
    </w:p>
    <w:p w14:paraId="7D24DF3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2.根据本合同的规定向甲方收取相关服务费用，并有权在本项目管理范围内管理及合理使用。</w:t>
      </w:r>
    </w:p>
    <w:p w14:paraId="79DA8FA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3.</w:t>
      </w:r>
      <w:r>
        <w:rPr>
          <w:rFonts w:hint="eastAsia" w:ascii="宋体" w:hAnsi="宋体" w:eastAsia="宋体" w:cs="宋体"/>
          <w:color w:val="000000"/>
          <w:sz w:val="20"/>
          <w:szCs w:val="20"/>
          <w:highlight w:val="none"/>
          <w:lang w:val="en-US" w:eastAsia="zh-CN"/>
        </w:rPr>
        <w:t>合同履行期间设置专门的农民工工资账户，及时足额支付农民工工资，不得拖欠、扣留等。</w:t>
      </w:r>
    </w:p>
    <w:p w14:paraId="24623AF7">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rPr>
        <w:t>及时向甲方通告本项目服务范围内有关服务的重大事项，及时配合处理投诉。</w:t>
      </w:r>
    </w:p>
    <w:p w14:paraId="516EB8A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rPr>
        <w:t>.</w:t>
      </w:r>
      <w:r>
        <w:rPr>
          <w:rFonts w:hint="eastAsia" w:ascii="宋体" w:hAnsi="宋体" w:eastAsia="宋体" w:cs="宋体"/>
          <w:bCs/>
          <w:color w:val="000000"/>
          <w:sz w:val="20"/>
          <w:szCs w:val="20"/>
          <w:highlight w:val="none"/>
        </w:rPr>
        <w:t>接受项目行业管理部门及政府有关部门的指导，接受甲方的监督。</w:t>
      </w:r>
    </w:p>
    <w:p w14:paraId="6C8CC319">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lang w:val="en-US" w:eastAsia="zh-CN"/>
        </w:rPr>
        <w:t>6</w:t>
      </w:r>
      <w:r>
        <w:rPr>
          <w:rFonts w:hint="eastAsia" w:ascii="宋体" w:hAnsi="宋体" w:eastAsia="宋体" w:cs="宋体"/>
          <w:bCs/>
          <w:color w:val="000000"/>
          <w:sz w:val="20"/>
          <w:szCs w:val="20"/>
          <w:highlight w:val="none"/>
        </w:rPr>
        <w:t>.国家法律、法规所规定由乙方承担的其它责任。</w:t>
      </w:r>
    </w:p>
    <w:p w14:paraId="6315122A">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6" w:name="_Toc13514"/>
      <w:r>
        <w:rPr>
          <w:rFonts w:hint="eastAsia" w:ascii="宋体" w:hAnsi="宋体" w:eastAsia="宋体" w:cs="宋体"/>
          <w:b/>
          <w:color w:val="000000"/>
          <w:sz w:val="20"/>
          <w:szCs w:val="20"/>
          <w:highlight w:val="none"/>
        </w:rPr>
        <w:t>第十条  违约责任</w:t>
      </w:r>
      <w:bookmarkEnd w:id="26"/>
    </w:p>
    <w:p w14:paraId="4BA81158">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按《中华人民共和国民法典》第三编中的相关条款执行。</w:t>
      </w:r>
    </w:p>
    <w:p w14:paraId="053825DE">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乙方履约延误</w:t>
      </w:r>
    </w:p>
    <w:p w14:paraId="18DC9983">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2-1</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如乙方事先未征得甲方同意并得到甲方的谅解而单方面延迟交货，将按违约终止合同。</w:t>
      </w:r>
    </w:p>
    <w:p w14:paraId="58D4588A">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2-2</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在履行合同过程中，乙方不能按时管理（除不可抗力及甲方同意的原因顺延外）或未按技术规范进行维护管理，经甲方通知而未在甲方指定时间整改，每延误一天，应按合同总价款的千分之五向甲方支付违约金，延误超过 5天的，甲方有权单方解除本合同，乙方应向甲方支付合同总价20%的违约金。</w:t>
      </w:r>
    </w:p>
    <w:p w14:paraId="2871A4F7">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2-3</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乙方违反本协议规定，造成损失、设施遭到破坏的，甲方将根据情节和造成的损失大小，给予乙方扣发管护费，赔偿一切经济损失等处罚或者解除协议</w:t>
      </w:r>
    </w:p>
    <w:p w14:paraId="6D90E758">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7" w:name="_Toc14551"/>
      <w:r>
        <w:rPr>
          <w:rFonts w:hint="eastAsia" w:ascii="宋体" w:hAnsi="宋体" w:eastAsia="宋体" w:cs="宋体"/>
          <w:b/>
          <w:color w:val="000000"/>
          <w:sz w:val="20"/>
          <w:szCs w:val="20"/>
          <w:highlight w:val="none"/>
        </w:rPr>
        <w:t>第十</w:t>
      </w:r>
      <w:r>
        <w:rPr>
          <w:rFonts w:hint="eastAsia" w:ascii="宋体" w:hAnsi="宋体" w:cs="宋体"/>
          <w:b/>
          <w:color w:val="000000"/>
          <w:sz w:val="20"/>
          <w:szCs w:val="20"/>
          <w:highlight w:val="none"/>
          <w:lang w:val="en-US" w:eastAsia="zh-CN"/>
        </w:rPr>
        <w:t>一</w:t>
      </w:r>
      <w:r>
        <w:rPr>
          <w:rFonts w:hint="eastAsia" w:ascii="宋体" w:hAnsi="宋体" w:eastAsia="宋体" w:cs="宋体"/>
          <w:b/>
          <w:color w:val="000000"/>
          <w:sz w:val="20"/>
          <w:szCs w:val="20"/>
          <w:highlight w:val="none"/>
        </w:rPr>
        <w:t>条  不可抗力事件处理</w:t>
      </w:r>
      <w:bookmarkEnd w:id="27"/>
    </w:p>
    <w:p w14:paraId="73935CD2">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1.在合同有效期内，任何一方因不可抗力事件导致不能履行合同，则合同履行期可延长，其延长期与不可抗力影响期相同。</w:t>
      </w:r>
    </w:p>
    <w:p w14:paraId="45DECC8B">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2.不可抗力事件发生后，应立即通知对方，并寄送有关权威机构出具的证明。</w:t>
      </w:r>
    </w:p>
    <w:p w14:paraId="3FC3F5FF">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3.不可抗力事件延续</w:t>
      </w:r>
      <w:r>
        <w:rPr>
          <w:rFonts w:hint="eastAsia" w:ascii="宋体" w:hAnsi="宋体" w:eastAsia="宋体" w:cs="宋体"/>
          <w:color w:val="000000"/>
          <w:sz w:val="20"/>
          <w:szCs w:val="20"/>
          <w:highlight w:val="none"/>
          <w:lang w:val="en-US" w:eastAsia="zh-CN"/>
        </w:rPr>
        <w:t>60</w:t>
      </w:r>
      <w:r>
        <w:rPr>
          <w:rFonts w:hint="eastAsia" w:ascii="宋体" w:hAnsi="宋体" w:eastAsia="宋体" w:cs="宋体"/>
          <w:color w:val="000000"/>
          <w:sz w:val="20"/>
          <w:szCs w:val="20"/>
          <w:highlight w:val="none"/>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D9D7C0D">
      <w:pPr>
        <w:pageBreakBefore w:val="0"/>
        <w:widowControl/>
        <w:kinsoku/>
        <w:wordWrap/>
        <w:overflowPunct/>
        <w:topLinePunct w:val="0"/>
        <w:autoSpaceDE/>
        <w:autoSpaceDN/>
        <w:bidi w:val="0"/>
        <w:snapToGrid/>
        <w:spacing w:before="120" w:beforeLines="50" w:after="120" w:afterLines="50" w:line="360" w:lineRule="auto"/>
        <w:jc w:val="left"/>
        <w:outlineLvl w:val="1"/>
        <w:rPr>
          <w:rFonts w:hint="eastAsia" w:ascii="宋体" w:hAnsi="宋体" w:eastAsia="宋体" w:cs="宋体"/>
          <w:color w:val="000000"/>
          <w:kern w:val="0"/>
          <w:sz w:val="20"/>
          <w:szCs w:val="20"/>
          <w:highlight w:val="none"/>
        </w:rPr>
      </w:pPr>
      <w:bookmarkStart w:id="28" w:name="_Toc238984980"/>
      <w:bookmarkStart w:id="29" w:name="_Toc225244857"/>
      <w:bookmarkStart w:id="30" w:name="_Toc237145411"/>
      <w:bookmarkStart w:id="31" w:name="_Toc232492933"/>
      <w:bookmarkStart w:id="32" w:name="_Toc185395254"/>
      <w:bookmarkStart w:id="33" w:name="_Toc212019599"/>
      <w:bookmarkStart w:id="34" w:name="_Toc239568423"/>
      <w:bookmarkStart w:id="35" w:name="_Toc225670756"/>
      <w:bookmarkStart w:id="36" w:name="_Toc211911353"/>
      <w:bookmarkStart w:id="37" w:name="_Toc225654649"/>
      <w:bookmarkStart w:id="38" w:name="_Toc239233919"/>
      <w:bookmarkStart w:id="39" w:name="_Toc211854454"/>
      <w:bookmarkStart w:id="40" w:name="_Toc286993792"/>
      <w:bookmarkStart w:id="41" w:name="_Toc251768867"/>
      <w:bookmarkStart w:id="42" w:name="_Toc241833908"/>
      <w:bookmarkStart w:id="43" w:name="_Toc247334846"/>
      <w:r>
        <w:rPr>
          <w:rFonts w:hint="eastAsia" w:ascii="宋体" w:hAnsi="宋体" w:eastAsia="宋体" w:cs="宋体"/>
          <w:b/>
          <w:color w:val="000000"/>
          <w:sz w:val="20"/>
          <w:szCs w:val="20"/>
          <w:highlight w:val="none"/>
        </w:rPr>
        <w:t xml:space="preserve">   </w:t>
      </w:r>
      <w:bookmarkStart w:id="44" w:name="_Toc12006"/>
      <w:r>
        <w:rPr>
          <w:rFonts w:hint="eastAsia" w:ascii="宋体" w:hAnsi="宋体" w:eastAsia="宋体" w:cs="宋体"/>
          <w:b/>
          <w:color w:val="000000"/>
          <w:sz w:val="20"/>
          <w:szCs w:val="20"/>
          <w:highlight w:val="none"/>
        </w:rPr>
        <w:t>第十</w:t>
      </w:r>
      <w:r>
        <w:rPr>
          <w:rFonts w:hint="eastAsia" w:ascii="宋体" w:hAnsi="宋体" w:cs="宋体"/>
          <w:b/>
          <w:color w:val="000000"/>
          <w:sz w:val="20"/>
          <w:szCs w:val="20"/>
          <w:highlight w:val="none"/>
          <w:lang w:val="en-US" w:eastAsia="zh-CN"/>
        </w:rPr>
        <w:t>二</w:t>
      </w:r>
      <w:r>
        <w:rPr>
          <w:rFonts w:hint="eastAsia" w:ascii="宋体" w:hAnsi="宋体" w:eastAsia="宋体" w:cs="宋体"/>
          <w:b/>
          <w:color w:val="000000"/>
          <w:sz w:val="20"/>
          <w:szCs w:val="20"/>
          <w:highlight w:val="none"/>
        </w:rPr>
        <w:t xml:space="preserve">条  </w:t>
      </w:r>
      <w:r>
        <w:rPr>
          <w:rFonts w:hint="eastAsia" w:ascii="宋体" w:hAnsi="宋体" w:eastAsia="宋体" w:cs="宋体"/>
          <w:b/>
          <w:color w:val="000000"/>
          <w:kern w:val="0"/>
          <w:sz w:val="20"/>
          <w:szCs w:val="20"/>
          <w:highlight w:val="none"/>
        </w:rPr>
        <w:t>合同的变更和终止</w:t>
      </w:r>
      <w:bookmarkEnd w:id="44"/>
    </w:p>
    <w:p w14:paraId="317F1CCB">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除《中华人民共和国政府采购法》第49条、第50条第二款规定的情形外，本合同一经签订，甲乙双方不得擅自变更、中止或终止合同。</w:t>
      </w:r>
    </w:p>
    <w:p w14:paraId="74FD8818">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45" w:name="_Toc12362"/>
      <w:r>
        <w:rPr>
          <w:rFonts w:hint="eastAsia" w:ascii="宋体" w:hAnsi="宋体" w:eastAsia="宋体" w:cs="宋体"/>
          <w:b/>
          <w:color w:val="000000"/>
          <w:sz w:val="20"/>
          <w:szCs w:val="20"/>
          <w:highlight w:val="none"/>
        </w:rPr>
        <w:t>第十</w:t>
      </w:r>
      <w:r>
        <w:rPr>
          <w:rFonts w:hint="eastAsia" w:ascii="宋体" w:hAnsi="宋体" w:cs="宋体"/>
          <w:b/>
          <w:color w:val="000000"/>
          <w:sz w:val="20"/>
          <w:szCs w:val="20"/>
          <w:highlight w:val="none"/>
          <w:lang w:val="en-US" w:eastAsia="zh-CN"/>
        </w:rPr>
        <w:t>三</w:t>
      </w:r>
      <w:r>
        <w:rPr>
          <w:rFonts w:hint="eastAsia" w:ascii="宋体" w:hAnsi="宋体" w:eastAsia="宋体" w:cs="宋体"/>
          <w:b/>
          <w:color w:val="000000"/>
          <w:sz w:val="20"/>
          <w:szCs w:val="20"/>
          <w:highlight w:val="none"/>
        </w:rPr>
        <w:t>条  解决合同纠纷的方式</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5"/>
    </w:p>
    <w:p w14:paraId="0527F452">
      <w:pPr>
        <w:pStyle w:val="13"/>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sz w:val="20"/>
          <w:szCs w:val="20"/>
          <w:highlight w:val="none"/>
        </w:rPr>
        <w:t>1.在执行本合同中发生的或与本合同有关的争端，双方应通过友好协商解决，经协商在</w:t>
      </w:r>
      <w:r>
        <w:rPr>
          <w:rFonts w:hint="eastAsia" w:ascii="宋体" w:hAnsi="宋体" w:eastAsia="宋体" w:cs="宋体"/>
          <w:color w:val="000000"/>
          <w:sz w:val="20"/>
          <w:szCs w:val="20"/>
          <w:highlight w:val="none"/>
          <w:lang w:val="en-US" w:eastAsia="zh-CN"/>
        </w:rPr>
        <w:t>30</w:t>
      </w:r>
      <w:r>
        <w:rPr>
          <w:rFonts w:hint="eastAsia" w:ascii="宋体" w:hAnsi="宋体" w:eastAsia="宋体" w:cs="宋体"/>
          <w:color w:val="000000"/>
          <w:sz w:val="20"/>
          <w:szCs w:val="20"/>
          <w:highlight w:val="none"/>
        </w:rPr>
        <w:t>天内不能达成协议时，</w:t>
      </w:r>
      <w:r>
        <w:rPr>
          <w:rFonts w:hint="eastAsia" w:ascii="宋体" w:hAnsi="宋体" w:eastAsia="宋体" w:cs="宋体"/>
          <w:color w:val="000000"/>
          <w:kern w:val="0"/>
          <w:sz w:val="20"/>
          <w:szCs w:val="20"/>
          <w:highlight w:val="none"/>
        </w:rPr>
        <w:t>则采取以下第</w:t>
      </w:r>
      <w:r>
        <w:rPr>
          <w:rFonts w:hint="eastAsia" w:ascii="宋体" w:hAnsi="宋体" w:eastAsia="宋体" w:cs="宋体"/>
          <w:color w:val="000000"/>
          <w:kern w:val="0"/>
          <w:sz w:val="20"/>
          <w:szCs w:val="20"/>
          <w:highlight w:val="none"/>
          <w:lang w:val="en-US" w:eastAsia="zh-CN"/>
        </w:rPr>
        <w:t>(1)</w:t>
      </w:r>
      <w:r>
        <w:rPr>
          <w:rFonts w:hint="eastAsia" w:ascii="宋体" w:hAnsi="宋体" w:eastAsia="宋体" w:cs="宋体"/>
          <w:color w:val="000000"/>
          <w:kern w:val="0"/>
          <w:sz w:val="20"/>
          <w:szCs w:val="20"/>
          <w:highlight w:val="none"/>
        </w:rPr>
        <w:t>种方式解决争议：</w:t>
      </w:r>
    </w:p>
    <w:p w14:paraId="0ED8E63F">
      <w:pPr>
        <w:pStyle w:val="13"/>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（1）向甲方所在地有管辖权的人民法院提起诉讼；</w:t>
      </w:r>
    </w:p>
    <w:p w14:paraId="3B3F365C">
      <w:pPr>
        <w:pStyle w:val="13"/>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（2）向</w:t>
      </w:r>
      <w:r>
        <w:rPr>
          <w:rFonts w:hint="eastAsia" w:ascii="宋体" w:hAnsi="宋体" w:eastAsia="宋体" w:cs="宋体"/>
          <w:color w:val="000000"/>
          <w:kern w:val="0"/>
          <w:sz w:val="20"/>
          <w:szCs w:val="20"/>
          <w:highlight w:val="none"/>
          <w:lang w:val="en-US" w:eastAsia="zh-CN"/>
        </w:rPr>
        <w:t>西安市</w:t>
      </w:r>
      <w:r>
        <w:rPr>
          <w:rFonts w:hint="eastAsia" w:ascii="宋体" w:hAnsi="宋体" w:eastAsia="宋体" w:cs="宋体"/>
          <w:color w:val="000000"/>
          <w:kern w:val="0"/>
          <w:sz w:val="20"/>
          <w:szCs w:val="20"/>
          <w:highlight w:val="none"/>
        </w:rPr>
        <w:t>仲裁委员会按其仲裁规则申请仲裁。</w:t>
      </w:r>
    </w:p>
    <w:p w14:paraId="4060DB3B">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2.在仲裁期间，本合同应继续履行。</w:t>
      </w:r>
    </w:p>
    <w:p w14:paraId="248E2A2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46" w:name="_Toc225670757"/>
      <w:bookmarkStart w:id="47" w:name="_Toc247334847"/>
      <w:bookmarkStart w:id="48" w:name="_Toc238984981"/>
      <w:bookmarkStart w:id="49" w:name="_Toc185395255"/>
      <w:bookmarkStart w:id="50" w:name="_Toc211911354"/>
      <w:bookmarkStart w:id="51" w:name="_Toc282696231"/>
      <w:bookmarkStart w:id="52" w:name="_Toc237145412"/>
      <w:bookmarkStart w:id="53" w:name="_Toc225244858"/>
      <w:bookmarkStart w:id="54" w:name="_Toc232492934"/>
      <w:bookmarkStart w:id="55" w:name="_Toc212019600"/>
      <w:bookmarkStart w:id="56" w:name="_Toc251768868"/>
      <w:bookmarkStart w:id="57" w:name="_Toc225654650"/>
      <w:bookmarkStart w:id="58" w:name="_Toc286993793"/>
      <w:bookmarkStart w:id="59" w:name="_Toc241833909"/>
      <w:bookmarkStart w:id="60" w:name="_Toc239568424"/>
      <w:bookmarkStart w:id="61" w:name="_Toc239233920"/>
      <w:bookmarkStart w:id="62" w:name="_Toc211854455"/>
      <w:bookmarkStart w:id="63" w:name="_Toc283019219"/>
      <w:bookmarkStart w:id="64" w:name="_Toc728"/>
      <w:r>
        <w:rPr>
          <w:rFonts w:hint="eastAsia" w:ascii="宋体" w:hAnsi="宋体" w:eastAsia="宋体" w:cs="宋体"/>
          <w:b/>
          <w:color w:val="000000"/>
          <w:sz w:val="20"/>
          <w:szCs w:val="20"/>
          <w:highlight w:val="none"/>
        </w:rPr>
        <w:t>第十</w:t>
      </w:r>
      <w:r>
        <w:rPr>
          <w:rFonts w:hint="eastAsia" w:ascii="宋体" w:hAnsi="宋体" w:cs="宋体"/>
          <w:b/>
          <w:color w:val="000000"/>
          <w:sz w:val="20"/>
          <w:szCs w:val="20"/>
          <w:highlight w:val="none"/>
          <w:lang w:val="en-US" w:eastAsia="zh-CN"/>
        </w:rPr>
        <w:t>四</w:t>
      </w:r>
      <w:r>
        <w:rPr>
          <w:rFonts w:hint="eastAsia" w:ascii="宋体" w:hAnsi="宋体" w:eastAsia="宋体" w:cs="宋体"/>
          <w:b/>
          <w:color w:val="000000"/>
          <w:sz w:val="20"/>
          <w:szCs w:val="20"/>
          <w:highlight w:val="none"/>
        </w:rPr>
        <w:t>条  合同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eastAsia="宋体" w:cs="宋体"/>
          <w:b/>
          <w:color w:val="000000"/>
          <w:sz w:val="20"/>
          <w:szCs w:val="20"/>
          <w:highlight w:val="none"/>
        </w:rPr>
        <w:t>生效及其他</w:t>
      </w:r>
      <w:bookmarkEnd w:id="64"/>
    </w:p>
    <w:p w14:paraId="619B0B86">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1.合同经双方法定代表人或授权委托代理人签字并加盖单位公章后生效。</w:t>
      </w:r>
    </w:p>
    <w:p w14:paraId="3FF0475C">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2.合同执行中涉及采购资金和采购内容修改或补充的，须经政府采购监管部门审批，并签书面补充协议报政府采购监督管理部门备案，方可作为主合同不可分割的一部分。</w:t>
      </w:r>
    </w:p>
    <w:p w14:paraId="498BD4F8">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3.本合同一式XX份，自双方签章之日起起效。甲方XX份，乙方XX份，政府采购代理机构XX份，同级财政部门备案XX份，具有同等法律效力。</w:t>
      </w:r>
    </w:p>
    <w:p w14:paraId="4C44A7CE">
      <w:pPr>
        <w:pageBreakBefore w:val="0"/>
        <w:kinsoku/>
        <w:wordWrap/>
        <w:overflowPunct/>
        <w:topLinePunct w:val="0"/>
        <w:autoSpaceDE/>
        <w:autoSpaceDN/>
        <w:bidi w:val="0"/>
        <w:snapToGrid/>
        <w:spacing w:after="120" w:afterLines="50" w:line="360" w:lineRule="auto"/>
        <w:ind w:left="425"/>
        <w:outlineLvl w:val="1"/>
        <w:rPr>
          <w:rFonts w:hint="eastAsia" w:ascii="宋体" w:hAnsi="宋体" w:eastAsia="宋体" w:cs="宋体"/>
          <w:b/>
          <w:color w:val="000000"/>
          <w:sz w:val="20"/>
          <w:szCs w:val="20"/>
          <w:highlight w:val="none"/>
        </w:rPr>
      </w:pPr>
      <w:bookmarkStart w:id="65" w:name="_Toc17068"/>
      <w:r>
        <w:rPr>
          <w:rFonts w:hint="eastAsia" w:ascii="宋体" w:hAnsi="宋体" w:eastAsia="宋体" w:cs="宋体"/>
          <w:b/>
          <w:color w:val="000000"/>
          <w:sz w:val="20"/>
          <w:szCs w:val="20"/>
          <w:highlight w:val="none"/>
        </w:rPr>
        <w:t>第十</w:t>
      </w:r>
      <w:r>
        <w:rPr>
          <w:rFonts w:hint="eastAsia" w:ascii="宋体" w:hAnsi="宋体" w:cs="宋体"/>
          <w:b/>
          <w:color w:val="000000"/>
          <w:sz w:val="20"/>
          <w:szCs w:val="20"/>
          <w:highlight w:val="none"/>
          <w:lang w:val="en-US" w:eastAsia="zh-CN"/>
        </w:rPr>
        <w:t>五</w:t>
      </w:r>
      <w:r>
        <w:rPr>
          <w:rFonts w:hint="eastAsia" w:ascii="宋体" w:hAnsi="宋体" w:eastAsia="宋体" w:cs="宋体"/>
          <w:b/>
          <w:color w:val="000000"/>
          <w:sz w:val="20"/>
          <w:szCs w:val="20"/>
          <w:highlight w:val="none"/>
        </w:rPr>
        <w:t>条  附件</w:t>
      </w:r>
      <w:bookmarkEnd w:id="65"/>
    </w:p>
    <w:p w14:paraId="47E92445">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1.项目招标文件</w:t>
      </w:r>
    </w:p>
    <w:p w14:paraId="7B4794A6">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2.项目修改澄清文件</w:t>
      </w:r>
    </w:p>
    <w:p w14:paraId="5C07B413">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3.项目投标文件</w:t>
      </w:r>
    </w:p>
    <w:p w14:paraId="2EEDB848">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4.中标通知书</w:t>
      </w:r>
    </w:p>
    <w:p w14:paraId="612BAAF0">
      <w:pPr>
        <w:pStyle w:val="14"/>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5.其他</w:t>
      </w:r>
    </w:p>
    <w:p w14:paraId="1EA13E5D">
      <w:pPr>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p>
    <w:p w14:paraId="0E218AE5">
      <w:pPr>
        <w:pageBreakBefore w:val="0"/>
        <w:widowControl/>
        <w:kinsoku/>
        <w:wordWrap/>
        <w:overflowPunct/>
        <w:topLinePunct w:val="0"/>
        <w:autoSpaceDE/>
        <w:autoSpaceDN/>
        <w:bidi w:val="0"/>
        <w:snapToGrid/>
        <w:spacing w:line="360" w:lineRule="auto"/>
        <w:jc w:val="center"/>
        <w:rPr>
          <w:rFonts w:hint="eastAsia" w:ascii="宋体" w:hAnsi="宋体" w:eastAsia="宋体" w:cs="宋体"/>
          <w:b w:val="0"/>
          <w:bCs w:val="0"/>
          <w:color w:val="auto"/>
          <w:kern w:val="0"/>
          <w:sz w:val="20"/>
          <w:szCs w:val="20"/>
          <w:highlight w:val="none"/>
          <w:u w:val="single"/>
        </w:rPr>
      </w:pPr>
    </w:p>
    <w:tbl>
      <w:tblPr>
        <w:tblStyle w:val="11"/>
        <w:tblW w:w="92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19"/>
        <w:gridCol w:w="4620"/>
      </w:tblGrid>
      <w:tr w14:paraId="493D0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1C8D94AD">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甲方：   （盖章） </w:t>
            </w:r>
          </w:p>
        </w:tc>
        <w:tc>
          <w:tcPr>
            <w:tcW w:w="4620" w:type="dxa"/>
            <w:vAlign w:val="top"/>
          </w:tcPr>
          <w:p w14:paraId="334CC05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cs="宋体"/>
                <w:color w:val="000000"/>
                <w:sz w:val="20"/>
                <w:szCs w:val="20"/>
                <w:highlight w:val="none"/>
                <w:lang w:val="en-US" w:eastAsia="zh-CN"/>
              </w:rPr>
              <w:t>乙</w:t>
            </w:r>
            <w:r>
              <w:rPr>
                <w:rFonts w:hint="eastAsia" w:ascii="宋体" w:hAnsi="宋体" w:eastAsia="宋体" w:cs="宋体"/>
                <w:color w:val="000000"/>
                <w:sz w:val="20"/>
                <w:szCs w:val="20"/>
                <w:highlight w:val="none"/>
              </w:rPr>
              <w:t xml:space="preserve">方：   （盖章） </w:t>
            </w:r>
          </w:p>
        </w:tc>
      </w:tr>
      <w:tr w14:paraId="4CBD7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4183054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法定代表人（委托代理人）：</w:t>
            </w:r>
          </w:p>
        </w:tc>
        <w:tc>
          <w:tcPr>
            <w:tcW w:w="4620" w:type="dxa"/>
            <w:vAlign w:val="top"/>
          </w:tcPr>
          <w:p w14:paraId="79BFA51A">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法定代表人（委托代理人）：</w:t>
            </w:r>
          </w:p>
        </w:tc>
      </w:tr>
      <w:tr w14:paraId="05176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2421680E">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地    址：</w:t>
            </w:r>
          </w:p>
        </w:tc>
        <w:tc>
          <w:tcPr>
            <w:tcW w:w="4620" w:type="dxa"/>
            <w:vAlign w:val="top"/>
          </w:tcPr>
          <w:p w14:paraId="6212CB5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地    址：</w:t>
            </w:r>
          </w:p>
        </w:tc>
      </w:tr>
      <w:tr w14:paraId="7CD7F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25947C5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开户银行：</w:t>
            </w:r>
          </w:p>
        </w:tc>
        <w:tc>
          <w:tcPr>
            <w:tcW w:w="4620" w:type="dxa"/>
            <w:vAlign w:val="top"/>
          </w:tcPr>
          <w:p w14:paraId="5445118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开户银行：</w:t>
            </w:r>
          </w:p>
        </w:tc>
      </w:tr>
      <w:tr w14:paraId="147CA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0E7EFD6D">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账号：</w:t>
            </w:r>
          </w:p>
        </w:tc>
        <w:tc>
          <w:tcPr>
            <w:tcW w:w="4620" w:type="dxa"/>
            <w:vAlign w:val="top"/>
          </w:tcPr>
          <w:p w14:paraId="0872DFC8">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账号：</w:t>
            </w:r>
          </w:p>
        </w:tc>
      </w:tr>
      <w:tr w14:paraId="1A36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603669F8">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电    话：</w:t>
            </w:r>
          </w:p>
        </w:tc>
        <w:tc>
          <w:tcPr>
            <w:tcW w:w="4620" w:type="dxa"/>
            <w:vAlign w:val="top"/>
          </w:tcPr>
          <w:p w14:paraId="3D0C3A7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电    话：</w:t>
            </w:r>
          </w:p>
        </w:tc>
      </w:tr>
      <w:tr w14:paraId="2724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375E3FFE">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传    真：</w:t>
            </w:r>
          </w:p>
        </w:tc>
        <w:tc>
          <w:tcPr>
            <w:tcW w:w="4620" w:type="dxa"/>
            <w:vAlign w:val="top"/>
          </w:tcPr>
          <w:p w14:paraId="580030C3">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传    真：</w:t>
            </w:r>
          </w:p>
        </w:tc>
      </w:tr>
      <w:tr w14:paraId="27880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619" w:type="dxa"/>
          </w:tcPr>
          <w:p w14:paraId="6843375A">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签约日期：  年  月 </w:t>
            </w:r>
            <w:r>
              <w:rPr>
                <w:rFonts w:hint="eastAsia" w:ascii="宋体" w:hAnsi="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 xml:space="preserve"> 日 </w:t>
            </w:r>
          </w:p>
        </w:tc>
        <w:tc>
          <w:tcPr>
            <w:tcW w:w="4620" w:type="dxa"/>
            <w:vAlign w:val="top"/>
          </w:tcPr>
          <w:p w14:paraId="5E5144C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签约日期：  年  月 </w:t>
            </w:r>
            <w:r>
              <w:rPr>
                <w:rFonts w:hint="eastAsia" w:ascii="宋体" w:hAnsi="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 xml:space="preserve"> 日 </w:t>
            </w:r>
          </w:p>
        </w:tc>
      </w:tr>
    </w:tbl>
    <w:p w14:paraId="72186AED">
      <w:pPr>
        <w:pageBreakBefore w:val="0"/>
        <w:widowControl/>
        <w:kinsoku/>
        <w:wordWrap/>
        <w:overflowPunct/>
        <w:topLinePunct w:val="0"/>
        <w:autoSpaceDE/>
        <w:autoSpaceDN/>
        <w:bidi w:val="0"/>
        <w:snapToGrid/>
        <w:spacing w:line="360" w:lineRule="auto"/>
        <w:jc w:val="center"/>
        <w:rPr>
          <w:rFonts w:hint="eastAsia" w:ascii="宋体" w:hAnsi="宋体" w:eastAsia="宋体" w:cs="宋体"/>
          <w:b w:val="0"/>
          <w:bCs w:val="0"/>
          <w:color w:val="auto"/>
          <w:kern w:val="0"/>
          <w:sz w:val="20"/>
          <w:szCs w:val="20"/>
          <w:highlight w:val="none"/>
          <w:u w:val="singl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p>
    <w:p w14:paraId="13038287">
      <w:pPr>
        <w:pStyle w:val="9"/>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渭河鄠邑段堤防工程2025年维修养护服务项目</w:t>
      </w:r>
      <w:r>
        <w:rPr>
          <w:rFonts w:hint="eastAsia" w:ascii="宋体" w:hAnsi="宋体" w:eastAsia="宋体" w:cs="宋体"/>
          <w:sz w:val="24"/>
          <w:szCs w:val="24"/>
        </w:rPr>
        <w:t>季度考核及付款办法</w:t>
      </w:r>
    </w:p>
    <w:p w14:paraId="07A4E2C7">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p w14:paraId="31230917">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一、考核总则</w:t>
      </w:r>
    </w:p>
    <w:p w14:paraId="50ECC9A2">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（一）考核目的</w:t>
      </w:r>
    </w:p>
    <w:p w14:paraId="2097843F">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以 “精准管控质量、动态优化服务” 为核心，通过标准化、可量化的季度考核，实现养护服务全流程闭环管理，既要保障堤防工程设施完好、景观绿化达标，也要推动乙方提升服务效率与应急响应能力，最终确保年度养护目标高质量落地。</w:t>
      </w:r>
    </w:p>
    <w:p w14:paraId="557A9934">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（二）考核周期与频次</w:t>
      </w:r>
    </w:p>
    <w:p w14:paraId="78DA3696">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b/>
          <w:bCs/>
          <w:sz w:val="20"/>
          <w:szCs w:val="20"/>
        </w:rPr>
        <w:t>基础周期：</w:t>
      </w:r>
      <w:r>
        <w:rPr>
          <w:rFonts w:hint="eastAsia" w:ascii="宋体" w:hAnsi="宋体" w:eastAsia="宋体" w:cs="宋体"/>
          <w:sz w:val="20"/>
          <w:szCs w:val="20"/>
        </w:rPr>
        <w:t>服务期 1 年，每 3 个月为 1 个考核周期（Q1：1-3 月、Q2：4-6 月、Q3：7-9 月、Q4：10-12 月），每季度末月 25 日前完成当季考核（遇节假日顺延至节后 3 个工作日内）。</w:t>
      </w:r>
    </w:p>
    <w:p w14:paraId="19230048">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b/>
          <w:bCs/>
          <w:sz w:val="20"/>
          <w:szCs w:val="20"/>
        </w:rPr>
        <w:t>补充核查：</w:t>
      </w:r>
      <w:r>
        <w:rPr>
          <w:rFonts w:hint="eastAsia" w:ascii="宋体" w:hAnsi="宋体" w:eastAsia="宋体" w:cs="宋体"/>
          <w:sz w:val="20"/>
          <w:szCs w:val="20"/>
        </w:rPr>
        <w:t>甲方可根据日常巡查发现的问题（如设施重大隐患、市民集中投诉），启动 “专项核查”，核查结果纳入当期考核总分（权重不超过 10%）。</w:t>
      </w:r>
    </w:p>
    <w:p w14:paraId="02F5CF8F">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（三）进度款支付基础</w:t>
      </w:r>
    </w:p>
    <w:p w14:paraId="4BD7ED9C">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本考核办法结果直接关联季度进度款支付，进度款总额按年度养护合同总费用的</w:t>
      </w:r>
      <w:r>
        <w:rPr>
          <w:rFonts w:hint="eastAsia" w:ascii="宋体" w:hAnsi="宋体" w:eastAsia="宋体" w:cs="宋体"/>
          <w:sz w:val="20"/>
          <w:szCs w:val="20"/>
          <w:lang w:val="en-US" w:eastAsia="zh-CN"/>
        </w:rPr>
        <w:t>15</w:t>
      </w:r>
      <w:r>
        <w:rPr>
          <w:rFonts w:hint="eastAsia" w:ascii="宋体" w:hAnsi="宋体" w:eastAsia="宋体" w:cs="宋体"/>
          <w:sz w:val="20"/>
          <w:szCs w:val="20"/>
        </w:rPr>
        <w:t>%分 4 个季度核算，考核合格后方可支付对应季度进度款。</w:t>
      </w:r>
    </w:p>
    <w:p w14:paraId="32BC2AB0">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二、季度考核内容及评分标准</w:t>
      </w:r>
    </w:p>
    <w:p w14:paraId="54107DDC">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bl>
      <w:tblPr>
        <w:tblStyle w:val="10"/>
        <w:tblW w:w="10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17"/>
        <w:gridCol w:w="690"/>
        <w:gridCol w:w="1215"/>
        <w:gridCol w:w="4425"/>
        <w:gridCol w:w="1819"/>
        <w:gridCol w:w="831"/>
      </w:tblGrid>
      <w:tr w14:paraId="3893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8E06F07">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rPr>
            </w:pPr>
            <w:r>
              <w:rPr>
                <w:rFonts w:hint="eastAsia" w:ascii="宋体" w:hAnsi="宋体" w:eastAsia="宋体" w:cs="宋体"/>
                <w:b/>
                <w:bCs/>
                <w:sz w:val="20"/>
                <w:szCs w:val="20"/>
              </w:rPr>
              <w:t>考核维度</w:t>
            </w:r>
          </w:p>
        </w:tc>
        <w:tc>
          <w:tcPr>
            <w:tcW w:w="69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82D5B21">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rPr>
            </w:pPr>
            <w:r>
              <w:rPr>
                <w:rFonts w:hint="eastAsia" w:ascii="宋体" w:hAnsi="宋体" w:eastAsia="宋体" w:cs="宋体"/>
                <w:b/>
                <w:bCs/>
                <w:sz w:val="20"/>
                <w:szCs w:val="20"/>
              </w:rPr>
              <w:t>权重</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BEFD68A">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rPr>
            </w:pPr>
            <w:r>
              <w:rPr>
                <w:rFonts w:hint="eastAsia" w:ascii="宋体" w:hAnsi="宋体" w:eastAsia="宋体" w:cs="宋体"/>
                <w:b/>
                <w:bCs/>
                <w:sz w:val="20"/>
                <w:szCs w:val="20"/>
              </w:rPr>
              <w:t>考核项目</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A2ED6C8">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rPr>
            </w:pPr>
            <w:r>
              <w:rPr>
                <w:rFonts w:hint="eastAsia" w:ascii="宋体" w:hAnsi="宋体" w:eastAsia="宋体" w:cs="宋体"/>
                <w:b/>
                <w:bCs/>
                <w:sz w:val="20"/>
                <w:szCs w:val="20"/>
              </w:rPr>
              <w:t>评分标准</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0D58B63">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rPr>
            </w:pPr>
            <w:r>
              <w:rPr>
                <w:rFonts w:hint="eastAsia" w:ascii="宋体" w:hAnsi="宋体" w:eastAsia="宋体" w:cs="宋体"/>
                <w:b/>
                <w:bCs/>
                <w:sz w:val="20"/>
                <w:szCs w:val="20"/>
              </w:rPr>
              <w:t>扣分规则</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E35C81E">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得分</w:t>
            </w:r>
          </w:p>
        </w:tc>
      </w:tr>
      <w:tr w14:paraId="740F2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382982D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一、季度养护任务完成率（30分）</w:t>
            </w:r>
          </w:p>
        </w:tc>
        <w:tc>
          <w:tcPr>
            <w:tcW w:w="690"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2FB2BA9D">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30%</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EDF098E">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1.基础养护任务完成</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2F7BA2C">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15分。季度内完成堤顶保洁（每日1次）、防护林整洁（每季度除草2次）、日常巡查（每日1次）等基础任务，完成率100%。</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B630B7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任务完成率每低5% 扣3分；未按频率执行每1次扣1分，扣完为止。</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DECBE39">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4A82B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1B5336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690"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F0CAFDE">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689693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2.专项养护任务完成</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D00967A">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15 分。按季度进度完成：Q1（1-3月）：防护林刷白（100% 完成）、灌溉系统检修（1次）；Q2（4-6月）：草皮补植（成活率≥95%）、病虫害防治（2次）；Q3（7-9月）：路面裂缝处理（100%处置）、排水系统清淤（1次）；Q4（10-12月）：备防石刷漆（100%完成）、桥梁栏杆检修（1次）。</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19529D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季度专项任务每逾期1项扣5分；质量不达标（如补植成活率低）每项扣3分。</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24324EF">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518C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0F6E73AD">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二、景观绿化季度质量（25分）</w:t>
            </w:r>
          </w:p>
        </w:tc>
        <w:tc>
          <w:tcPr>
            <w:tcW w:w="690"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08EA7CF0">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25%</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D337DE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1.草皮及绿化养护效果</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027D693">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13分。季度内草皮无大面积枯黄（枯黄率＜3%），堤顶绿化修剪整齐（高度符合标准），灌溉覆盖率100%。</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363E251">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枯黄率每超1%扣2分；修剪不及时每处100㎡扣1分；灌溉遗漏每处扣2分。</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5903E8D">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6FFEF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83DF2B5">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690"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AA1BB79">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DC70749">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2.绿化设施季度维护</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6694AAD">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12分。季度内灌溉系统故障修复≤24小时（故障次数≤2次），补植区域养护到位（季度内无二次枯萎）。</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ACF9575">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故障修复超时1次扣3分；补植二次枯萎每100㎡扣2分，扣完为止。</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1C4DD9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7830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6605F091">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三、工程设施季度完好率（25分）</w:t>
            </w:r>
          </w:p>
        </w:tc>
        <w:tc>
          <w:tcPr>
            <w:tcW w:w="690"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51F2DAC0">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25%</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9C6410F">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1.堤防及道路设施</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93CB09B">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13 分。季度内堤坡平整（无新增坑洼/裂缝＞5cm）、路面破损修复率100%、井盖缺损更换≤24小时。</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AAC46FD">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新增坑洼/裂缝每处扣2分；破损修复逾期1处扣3分；井盖更换超时1次扣2分。</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7432D2A">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18F4B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ABF8E7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690"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21C9853">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B253BDC">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2.附属设施维护</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8EBB813">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12分。季度内桥梁栏杆无锈蚀（每季度检查 1 次）、路灯故障修复≤24小时（故障次数≤3次）、厕所保洁达标（每日2次）。</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61666F2">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栏杆锈蚀每处扣2分；路灯故障超时1次扣2分；厕所不洁每发现1次扣1分。</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603B870">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70CC3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41800849">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四、季度应急与管理（20分）</w:t>
            </w:r>
          </w:p>
        </w:tc>
        <w:tc>
          <w:tcPr>
            <w:tcW w:w="690" w:type="dxa"/>
            <w:vMerge w:val="restart"/>
            <w:tcBorders>
              <w:top w:val="single" w:color="DEE0E3" w:sz="0" w:space="0"/>
              <w:left w:val="single" w:color="DEE0E3" w:sz="0" w:space="0"/>
              <w:right w:val="single" w:color="DEE0E3" w:sz="0" w:space="0"/>
            </w:tcBorders>
            <w:tcMar>
              <w:top w:w="60" w:type="dxa"/>
              <w:left w:w="120" w:type="dxa"/>
              <w:bottom w:w="30" w:type="dxa"/>
              <w:right w:w="120" w:type="dxa"/>
            </w:tcMar>
            <w:vAlign w:val="center"/>
          </w:tcPr>
          <w:p w14:paraId="5C992A7F">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20%</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93C371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1.季度应急处置</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4CC3C9C">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8分。季度内发生设施损坏、恶劣天气等应急事件，1小时内上报、24小时内处置，处置成功率100%。</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48DBEC7">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应急上报超时1次扣3分；处置失败1次扣5分，扣完为止。</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B74F235">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6A04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continue"/>
            <w:tcBorders>
              <w:left w:val="single" w:color="DEE0E3" w:sz="0" w:space="0"/>
              <w:right w:val="single" w:color="DEE0E3" w:sz="0" w:space="0"/>
            </w:tcBorders>
            <w:tcMar>
              <w:top w:w="60" w:type="dxa"/>
              <w:left w:w="120" w:type="dxa"/>
              <w:bottom w:w="30" w:type="dxa"/>
              <w:right w:w="120" w:type="dxa"/>
            </w:tcMar>
            <w:vAlign w:val="center"/>
          </w:tcPr>
          <w:p w14:paraId="13D7EB53">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690" w:type="dxa"/>
            <w:vMerge w:val="continue"/>
            <w:tcBorders>
              <w:left w:val="single" w:color="DEE0E3" w:sz="0" w:space="0"/>
              <w:right w:val="single" w:color="DEE0E3" w:sz="0" w:space="0"/>
            </w:tcBorders>
            <w:tcMar>
              <w:top w:w="60" w:type="dxa"/>
              <w:left w:w="120" w:type="dxa"/>
              <w:bottom w:w="30" w:type="dxa"/>
              <w:right w:w="120" w:type="dxa"/>
            </w:tcMar>
            <w:vAlign w:val="center"/>
          </w:tcPr>
          <w:p w14:paraId="59B77993">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6625B5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2.季度资料报送</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A288739">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6 分。每季度末前 5 日提交《季度养护工作总结报告》（含任务完成清单、照片佐证、巡查日志），数据真实完整。</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888FB4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资料迟交1天扣2分；数据虚假/缺失每1项扣1分，扣完为止。</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0409AF7">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41B2F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A7A433D">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690" w:type="dxa"/>
            <w:vMerge w:val="continue"/>
            <w:tcBorders>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47E30C3">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17961F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3.人员设备季度保障</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13FAE6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6分。季度内养护人员（≥10人）、巡查人员（≥4 人）无缺岗（缺岗次数≤3次），必备设备（清扫车、洒水车等）完好率100%。</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7AD3C4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人员缺岗1次扣1分；设备故障无法使用1台扣2分，扣完为止。</w:t>
            </w: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5690CE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5C59E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8887A8C">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加分项（最高5分）</w:t>
            </w:r>
          </w:p>
        </w:tc>
        <w:tc>
          <w:tcPr>
            <w:tcW w:w="69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536EB90">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EC83431">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1.季度任务提前完成且质量优秀；2.季度内无应急事件/设备故障；3.创新养护方法提升季度效率。</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91CE6D7">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每项加1-2分，累计不超过5分。</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57D5472">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C581D9F">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r w14:paraId="3FAF2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117"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B44673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减分项（最低0分）</w:t>
            </w:r>
          </w:p>
        </w:tc>
        <w:tc>
          <w:tcPr>
            <w:tcW w:w="69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14FEED3">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w:t>
            </w:r>
          </w:p>
        </w:tc>
        <w:tc>
          <w:tcPr>
            <w:tcW w:w="121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CE69B42">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1.季度内发生安全事故（按严重程度扣10-20分）；2.被上级部门通报批评（每次扣5分）；3.</w:t>
            </w:r>
            <w:r>
              <w:rPr>
                <w:rFonts w:hint="eastAsia" w:ascii="宋体" w:hAnsi="宋体" w:eastAsia="宋体" w:cs="宋体"/>
                <w:sz w:val="20"/>
                <w:szCs w:val="20"/>
                <w:lang w:val="en-US" w:eastAsia="zh-CN"/>
              </w:rPr>
              <w:t>市民</w:t>
            </w:r>
            <w:r>
              <w:rPr>
                <w:rFonts w:hint="eastAsia" w:ascii="宋体" w:hAnsi="宋体" w:eastAsia="宋体" w:cs="宋体"/>
                <w:sz w:val="20"/>
                <w:szCs w:val="20"/>
              </w:rPr>
              <w:t>投诉经查实（每次扣3分）。</w:t>
            </w:r>
          </w:p>
        </w:tc>
        <w:tc>
          <w:tcPr>
            <w:tcW w:w="4425"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3190B2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扣分后总分不足</w:t>
            </w:r>
            <w:r>
              <w:rPr>
                <w:rFonts w:hint="eastAsia" w:ascii="宋体" w:hAnsi="宋体" w:eastAsia="宋体" w:cs="宋体"/>
                <w:sz w:val="20"/>
                <w:szCs w:val="20"/>
                <w:lang w:val="en-US" w:eastAsia="zh-CN"/>
              </w:rPr>
              <w:t>7</w:t>
            </w:r>
            <w:r>
              <w:rPr>
                <w:rFonts w:hint="eastAsia" w:ascii="宋体" w:hAnsi="宋体" w:eastAsia="宋体" w:cs="宋体"/>
                <w:sz w:val="20"/>
                <w:szCs w:val="20"/>
              </w:rPr>
              <w:t>0分的，按0分计，对应季度进度款暂缓支付。</w:t>
            </w:r>
          </w:p>
        </w:tc>
        <w:tc>
          <w:tcPr>
            <w:tcW w:w="1819"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F9A5A06">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c>
          <w:tcPr>
            <w:tcW w:w="831"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D9B8BF2">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c>
      </w:tr>
    </w:tbl>
    <w:p w14:paraId="15893D1B">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三、季度考核实施流程</w:t>
      </w:r>
    </w:p>
    <w:p w14:paraId="4E842C71">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（一）季度自查与申报</w:t>
      </w:r>
    </w:p>
    <w:p w14:paraId="1B645A94">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养护单位在每季度末月 2</w:t>
      </w:r>
      <w:r>
        <w:rPr>
          <w:rFonts w:hint="eastAsia" w:ascii="宋体" w:hAnsi="宋体" w:eastAsia="宋体" w:cs="宋体"/>
          <w:sz w:val="20"/>
          <w:szCs w:val="20"/>
          <w:lang w:val="en-US" w:eastAsia="zh-CN"/>
        </w:rPr>
        <w:t>5</w:t>
      </w:r>
      <w:r>
        <w:rPr>
          <w:rFonts w:hint="eastAsia" w:ascii="宋体" w:hAnsi="宋体" w:eastAsia="宋体" w:cs="宋体"/>
          <w:sz w:val="20"/>
          <w:szCs w:val="20"/>
        </w:rPr>
        <w:t xml:space="preserve"> 日前，提交《季度养护任务完成自查表》《季度进度款支付申请》及佐证资料（含任务完成照片、维修记录、巡查日志等），同时说明未完成任务的原因及整改计划。</w:t>
      </w:r>
    </w:p>
    <w:p w14:paraId="41F36228">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（二）季度考核执行</w:t>
      </w:r>
    </w:p>
    <w:p w14:paraId="3ABD4DD2">
      <w:pPr>
        <w:pStyle w:val="1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考核小组（业主单位）在收到材料后5日内，结合日常巡查记录（每季度随机抽查不少于10次），现场核查季度任务完成质量；</w:t>
      </w:r>
    </w:p>
    <w:p w14:paraId="0B6B4992">
      <w:pPr>
        <w:pStyle w:val="1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对照评分标准打分，出具《季度考核结果及进度款支付意见书》，明确考核等级、进度款支付比例及整改要求。</w:t>
      </w:r>
    </w:p>
    <w:p w14:paraId="3407565A">
      <w:pPr>
        <w:pStyle w:val="5"/>
        <w:keepNext w:val="0"/>
        <w:keepLines w:val="0"/>
        <w:pageBreakBefore w:val="0"/>
        <w:widowControl/>
        <w:kinsoku/>
        <w:wordWrap/>
        <w:overflowPunct/>
        <w:topLinePunct w:val="0"/>
        <w:autoSpaceDE/>
        <w:autoSpaceDN/>
        <w:bidi w:val="0"/>
        <w:adjustRightInd/>
        <w:snapToGrid/>
        <w:spacing w:before="0" w:after="0" w:line="360" w:lineRule="auto"/>
        <w:ind w:firstLine="402" w:firstLineChars="200"/>
        <w:textAlignment w:val="auto"/>
        <w:rPr>
          <w:rFonts w:hint="eastAsia" w:ascii="宋体" w:hAnsi="宋体" w:eastAsia="宋体" w:cs="宋体"/>
          <w:sz w:val="20"/>
          <w:szCs w:val="20"/>
        </w:rPr>
      </w:pPr>
      <w:r>
        <w:rPr>
          <w:rFonts w:hint="eastAsia" w:ascii="宋体" w:hAnsi="宋体" w:eastAsia="宋体" w:cs="宋体"/>
          <w:sz w:val="20"/>
          <w:szCs w:val="20"/>
        </w:rPr>
        <w:t>（三）整改与复查</w:t>
      </w:r>
    </w:p>
    <w:p w14:paraId="4806C7FE">
      <w:pPr>
        <w:pStyle w:val="15"/>
        <w:keepNext w:val="0"/>
        <w:keepLines w:val="0"/>
        <w:pageBreakBefore w:val="0"/>
        <w:widowControl/>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若考核不合格（总分＜</w:t>
      </w:r>
      <w:r>
        <w:rPr>
          <w:rFonts w:hint="eastAsia" w:ascii="宋体" w:hAnsi="宋体" w:eastAsia="宋体" w:cs="宋体"/>
          <w:sz w:val="20"/>
          <w:szCs w:val="20"/>
          <w:lang w:val="en-US" w:eastAsia="zh-CN"/>
        </w:rPr>
        <w:t>7</w:t>
      </w:r>
      <w:r>
        <w:rPr>
          <w:rFonts w:hint="eastAsia" w:ascii="宋体" w:hAnsi="宋体" w:eastAsia="宋体" w:cs="宋体"/>
          <w:sz w:val="20"/>
          <w:szCs w:val="20"/>
        </w:rPr>
        <w:t>0 分），养护单位需在15日内完成整改，考核小组在整改期结束后3日内复查；复查合格方可重新申请进度款，复查仍不合格的，对应季度进度款延迟至下一季度考核合格后一并核算。</w:t>
      </w:r>
    </w:p>
    <w:p w14:paraId="7138BD6E">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四、季度考核结果与进度款支付关联</w:t>
      </w:r>
    </w:p>
    <w:p w14:paraId="7890350E">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552"/>
        <w:gridCol w:w="1170"/>
        <w:gridCol w:w="3930"/>
        <w:gridCol w:w="2614"/>
      </w:tblGrid>
      <w:tr w14:paraId="7847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552"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AEA54D5">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季度考核等级</w:t>
            </w:r>
          </w:p>
        </w:tc>
        <w:tc>
          <w:tcPr>
            <w:tcW w:w="117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0DB7B57">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总分范围</w:t>
            </w:r>
          </w:p>
        </w:tc>
        <w:tc>
          <w:tcPr>
            <w:tcW w:w="393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6520E3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进度款支付比例</w:t>
            </w:r>
          </w:p>
        </w:tc>
        <w:tc>
          <w:tcPr>
            <w:tcW w:w="2614"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B6DBFEE">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后续处理</w:t>
            </w:r>
          </w:p>
        </w:tc>
      </w:tr>
      <w:tr w14:paraId="439C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552"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FAD77CE">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A</w:t>
            </w:r>
            <w:r>
              <w:rPr>
                <w:rFonts w:hint="eastAsia" w:ascii="宋体" w:hAnsi="宋体" w:eastAsia="宋体" w:cs="宋体"/>
                <w:sz w:val="20"/>
                <w:szCs w:val="20"/>
              </w:rPr>
              <w:t>优秀</w:t>
            </w:r>
          </w:p>
        </w:tc>
        <w:tc>
          <w:tcPr>
            <w:tcW w:w="117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7A79DA55">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≥90分</w:t>
            </w:r>
          </w:p>
        </w:tc>
        <w:tc>
          <w:tcPr>
            <w:tcW w:w="393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2377928">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100%支付对应季度进度款</w:t>
            </w:r>
          </w:p>
        </w:tc>
        <w:tc>
          <w:tcPr>
            <w:tcW w:w="2614"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E92BAAE">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优先信任，下一季度可适当减少抽查频次。</w:t>
            </w:r>
          </w:p>
        </w:tc>
      </w:tr>
      <w:tr w14:paraId="54C0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552"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0CC60614">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B</w:t>
            </w:r>
            <w:r>
              <w:rPr>
                <w:rFonts w:hint="eastAsia" w:ascii="宋体" w:hAnsi="宋体" w:eastAsia="宋体" w:cs="宋体"/>
                <w:sz w:val="20"/>
                <w:szCs w:val="20"/>
              </w:rPr>
              <w:t>良好</w:t>
            </w:r>
          </w:p>
        </w:tc>
        <w:tc>
          <w:tcPr>
            <w:tcW w:w="117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8609154">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80-89分</w:t>
            </w:r>
          </w:p>
        </w:tc>
        <w:tc>
          <w:tcPr>
            <w:tcW w:w="393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7056043">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lang w:eastAsia="zh-CN"/>
              </w:rPr>
            </w:pPr>
            <w:r>
              <w:rPr>
                <w:rFonts w:hint="eastAsia" w:ascii="宋体" w:hAnsi="宋体" w:eastAsia="宋体" w:cs="宋体"/>
                <w:sz w:val="20"/>
                <w:szCs w:val="20"/>
                <w:lang w:val="en-US" w:eastAsia="zh-CN"/>
              </w:rPr>
              <w:t>90</w:t>
            </w:r>
            <w:r>
              <w:rPr>
                <w:rFonts w:hint="eastAsia" w:ascii="宋体" w:hAnsi="宋体" w:eastAsia="宋体" w:cs="宋体"/>
                <w:sz w:val="20"/>
                <w:szCs w:val="20"/>
              </w:rPr>
              <w:t>%支付对应季度进度款</w:t>
            </w:r>
            <w:r>
              <w:rPr>
                <w:rFonts w:hint="eastAsia" w:ascii="宋体" w:hAnsi="宋体" w:eastAsia="宋体" w:cs="宋体"/>
                <w:sz w:val="20"/>
                <w:szCs w:val="20"/>
                <w:lang w:eastAsia="zh-CN"/>
              </w:rPr>
              <w:t>，</w:t>
            </w:r>
            <w:r>
              <w:rPr>
                <w:rFonts w:hint="eastAsia" w:ascii="宋体" w:hAnsi="宋体" w:eastAsia="宋体" w:cs="宋体"/>
                <w:sz w:val="20"/>
                <w:szCs w:val="20"/>
              </w:rPr>
              <w:t>剩余</w:t>
            </w:r>
            <w:r>
              <w:rPr>
                <w:rFonts w:hint="eastAsia" w:ascii="宋体" w:hAnsi="宋体" w:eastAsia="宋体" w:cs="宋体"/>
                <w:sz w:val="20"/>
                <w:szCs w:val="20"/>
                <w:lang w:val="en-US" w:eastAsia="zh-CN"/>
              </w:rPr>
              <w:t>1</w:t>
            </w:r>
            <w:r>
              <w:rPr>
                <w:rFonts w:hint="eastAsia" w:ascii="宋体" w:hAnsi="宋体" w:eastAsia="宋体" w:cs="宋体"/>
                <w:sz w:val="20"/>
                <w:szCs w:val="20"/>
              </w:rPr>
              <w:t>0%待下一季度考核合格后补付</w:t>
            </w:r>
          </w:p>
        </w:tc>
        <w:tc>
          <w:tcPr>
            <w:tcW w:w="2614"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6CC631F1">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正常开展下一季度考核，需提交季度优化改进计划。</w:t>
            </w:r>
          </w:p>
        </w:tc>
      </w:tr>
      <w:tr w14:paraId="7F3C6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552"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3D0BB4C">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C</w:t>
            </w:r>
            <w:r>
              <w:rPr>
                <w:rFonts w:hint="eastAsia" w:ascii="宋体" w:hAnsi="宋体" w:eastAsia="宋体" w:cs="宋体"/>
                <w:sz w:val="20"/>
                <w:szCs w:val="20"/>
              </w:rPr>
              <w:t>合格</w:t>
            </w:r>
          </w:p>
        </w:tc>
        <w:tc>
          <w:tcPr>
            <w:tcW w:w="117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336278E">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7</w:t>
            </w:r>
            <w:r>
              <w:rPr>
                <w:rFonts w:hint="eastAsia" w:ascii="宋体" w:hAnsi="宋体" w:eastAsia="宋体" w:cs="宋体"/>
                <w:sz w:val="20"/>
                <w:szCs w:val="20"/>
              </w:rPr>
              <w:t>0-79分</w:t>
            </w:r>
          </w:p>
        </w:tc>
        <w:tc>
          <w:tcPr>
            <w:tcW w:w="393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B6E9BD2">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80%支付对应季度进度款，剩余20%待下一季度考核合格后补付</w:t>
            </w:r>
          </w:p>
        </w:tc>
        <w:tc>
          <w:tcPr>
            <w:tcW w:w="2614"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570FA6D0">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需在10日内提交整改计划，下一季度考核增加1次专项抽查。</w:t>
            </w:r>
          </w:p>
        </w:tc>
      </w:tr>
      <w:tr w14:paraId="199C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1552"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4BCEC18F">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D</w:t>
            </w:r>
            <w:r>
              <w:rPr>
                <w:rFonts w:hint="eastAsia" w:ascii="宋体" w:hAnsi="宋体" w:eastAsia="宋体" w:cs="宋体"/>
                <w:sz w:val="20"/>
                <w:szCs w:val="20"/>
              </w:rPr>
              <w:t>不合格</w:t>
            </w:r>
          </w:p>
        </w:tc>
        <w:tc>
          <w:tcPr>
            <w:tcW w:w="117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1617A859">
            <w:pPr>
              <w:pStyle w:val="15"/>
              <w:keepNext w:val="0"/>
              <w:keepLines w:val="0"/>
              <w:pageBreakBefore w:val="0"/>
              <w:kinsoku/>
              <w:wordWrap/>
              <w:overflowPunct/>
              <w:topLinePunct w:val="0"/>
              <w:autoSpaceDE/>
              <w:autoSpaceDN/>
              <w:bidi w:val="0"/>
              <w:adjustRightInd/>
              <w:snapToGrid/>
              <w:spacing w:before="0" w:after="0" w:line="360" w:lineRule="auto"/>
              <w:ind w:firstLine="0"/>
              <w:jc w:val="center"/>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7</w:t>
            </w:r>
            <w:r>
              <w:rPr>
                <w:rFonts w:hint="eastAsia" w:ascii="宋体" w:hAnsi="宋体" w:eastAsia="宋体" w:cs="宋体"/>
                <w:sz w:val="20"/>
                <w:szCs w:val="20"/>
              </w:rPr>
              <w:t>0分</w:t>
            </w:r>
          </w:p>
        </w:tc>
        <w:tc>
          <w:tcPr>
            <w:tcW w:w="3930"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2B7527E7">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暂缓支付对应季度进度款</w:t>
            </w:r>
          </w:p>
        </w:tc>
        <w:tc>
          <w:tcPr>
            <w:tcW w:w="2614" w:type="dxa"/>
            <w:tcBorders>
              <w:top w:val="single" w:color="DEE0E3" w:sz="0" w:space="0"/>
              <w:left w:val="single" w:color="DEE0E3" w:sz="0" w:space="0"/>
              <w:bottom w:val="single" w:color="DEE0E3" w:sz="0" w:space="0"/>
              <w:right w:val="single" w:color="DEE0E3" w:sz="0" w:space="0"/>
            </w:tcBorders>
            <w:tcMar>
              <w:top w:w="60" w:type="dxa"/>
              <w:left w:w="120" w:type="dxa"/>
              <w:bottom w:w="30" w:type="dxa"/>
              <w:right w:w="120" w:type="dxa"/>
            </w:tcMar>
            <w:vAlign w:val="center"/>
          </w:tcPr>
          <w:p w14:paraId="30E65714">
            <w:pPr>
              <w:pStyle w:val="15"/>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rPr>
              <w:t>15日内完成全面整改，复查合格后按60%支付；复查仍不合格的，按合同约定追究违约责任，且年度服务质量评价直接定为 “不合格”。</w:t>
            </w:r>
          </w:p>
        </w:tc>
      </w:tr>
    </w:tbl>
    <w:p w14:paraId="58030C66">
      <w:pPr>
        <w:pStyle w:val="4"/>
        <w:keepNext w:val="0"/>
        <w:keepLines w:val="0"/>
        <w:pageBreakBefore w:val="0"/>
        <w:kinsoku/>
        <w:wordWrap/>
        <w:overflowPunct/>
        <w:topLinePunct w:val="0"/>
        <w:autoSpaceDE/>
        <w:autoSpaceDN/>
        <w:bidi w:val="0"/>
        <w:adjustRightInd/>
        <w:snapToGrid/>
        <w:spacing w:before="0" w:after="0" w:line="360" w:lineRule="auto"/>
        <w:ind w:firstLine="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五</w:t>
      </w:r>
      <w:r>
        <w:rPr>
          <w:rFonts w:hint="eastAsia" w:ascii="宋体" w:hAnsi="宋体" w:eastAsia="宋体" w:cs="宋体"/>
          <w:sz w:val="20"/>
          <w:szCs w:val="20"/>
        </w:rPr>
        <w:t>、附则</w:t>
      </w:r>
    </w:p>
    <w:p w14:paraId="3F5D8E17">
      <w:pPr>
        <w:pStyle w:val="1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季度考核结果及进度款支付意见需在考核结束后 3 日内公示，养护单位如有异议，可在公示后 3 日内提出申诉，考核小组 5 日内出具复核意见；</w:t>
      </w:r>
    </w:p>
    <w:p w14:paraId="579B46A1">
      <w:pPr>
        <w:pStyle w:val="1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因特殊天气（如汛期、极端高温）导致季度任务无法按期完成的，养护单位需提前 7 日提交延期申请，经业主单位批准后，考核周期可适当顺延，进度款支付时间同步调整；</w:t>
      </w:r>
    </w:p>
    <w:p w14:paraId="2B317F31">
      <w:pPr>
        <w:pStyle w:val="15"/>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本办法自养护合同生效之日起执行，由业主单位负责解释，季度任务清单可根据实际养护需求动态调整（需提前 10 日书面通知养护单位）。</w:t>
      </w:r>
    </w:p>
    <w:p w14:paraId="016EBB2E">
      <w:pPr>
        <w:keepNext w:val="0"/>
        <w:keepLines w:val="0"/>
        <w:pageBreakBefore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highlight w:val="none"/>
        </w:rPr>
      </w:pPr>
    </w:p>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E591D"/>
    <w:rsid w:val="059D5548"/>
    <w:rsid w:val="10506A01"/>
    <w:rsid w:val="13DE591D"/>
    <w:rsid w:val="179C033F"/>
    <w:rsid w:val="17C142A0"/>
    <w:rsid w:val="212117DC"/>
    <w:rsid w:val="2B6C7ACB"/>
    <w:rsid w:val="2E586286"/>
    <w:rsid w:val="33272CFD"/>
    <w:rsid w:val="3D216AD8"/>
    <w:rsid w:val="3F6902F3"/>
    <w:rsid w:val="469D6AD4"/>
    <w:rsid w:val="52397FF8"/>
    <w:rsid w:val="552F1D1C"/>
    <w:rsid w:val="573719B1"/>
    <w:rsid w:val="582D0A15"/>
    <w:rsid w:val="5F16521D"/>
    <w:rsid w:val="62143C96"/>
    <w:rsid w:val="62D82F16"/>
    <w:rsid w:val="64A04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Title"/>
    <w:qFormat/>
    <w:uiPriority w:val="0"/>
    <w:pPr>
      <w:spacing w:before="480" w:after="480" w:line="288" w:lineRule="auto"/>
      <w:ind w:left="0"/>
    </w:pPr>
    <w:rPr>
      <w:rFonts w:ascii="Arial" w:hAnsi="Arial" w:eastAsia="等线" w:cs="Arial"/>
      <w:b/>
      <w:bCs/>
      <w:sz w:val="52"/>
      <w:szCs w:val="5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首行缩进:  2 字符"/>
    <w:basedOn w:val="1"/>
    <w:qFormat/>
    <w:uiPriority w:val="0"/>
    <w:pPr>
      <w:spacing w:line="400" w:lineRule="exact"/>
      <w:ind w:firstLine="200" w:firstLineChars="200"/>
    </w:pPr>
    <w:rPr>
      <w:rFonts w:cs="宋体"/>
      <w:sz w:val="24"/>
    </w:rPr>
  </w:style>
  <w:style w:type="paragraph" w:styleId="14">
    <w:name w:val="List Paragraph"/>
    <w:basedOn w:val="1"/>
    <w:qFormat/>
    <w:uiPriority w:val="0"/>
    <w:pPr>
      <w:ind w:firstLine="420" w:firstLineChars="200"/>
    </w:pPr>
    <w:rPr>
      <w:sz w:val="18"/>
      <w:szCs w:val="18"/>
    </w:rPr>
  </w:style>
  <w:style w:type="paragraph" w:customStyle="1" w:styleId="15">
    <w:name w:val="_Style 13"/>
    <w:qFormat/>
    <w:uiPriority w:val="0"/>
    <w:pPr>
      <w:spacing w:before="120" w:after="120" w:line="288" w:lineRule="auto"/>
      <w:ind w:left="0"/>
      <w:jc w:val="left"/>
    </w:pPr>
    <w:rPr>
      <w:rFonts w:ascii="Arial" w:hAnsi="Arial" w:eastAsia="等线" w:cs="Arial"/>
      <w:sz w:val="22"/>
      <w:szCs w:val="22"/>
    </w:rPr>
  </w:style>
  <w:style w:type="paragraph" w:customStyle="1" w:styleId="16">
    <w:name w:val="_Style 14"/>
    <w:qFormat/>
    <w:uiPriority w:val="0"/>
    <w:pPr>
      <w:spacing w:before="120" w:after="120" w:line="288" w:lineRule="auto"/>
      <w:ind w:left="0"/>
      <w:jc w:val="left"/>
    </w:pPr>
    <w:rPr>
      <w:rFonts w:ascii="Arial" w:hAnsi="Arial" w:eastAsia="等线" w:cs="Arial"/>
      <w:color w:val="8F959E"/>
      <w:sz w:val="22"/>
      <w:szCs w:val="22"/>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9</Pages>
  <Words>4333</Words>
  <Characters>4637</Characters>
  <Lines>0</Lines>
  <Paragraphs>0</Paragraphs>
  <TotalTime>0</TotalTime>
  <ScaleCrop>false</ScaleCrop>
  <LinksUpToDate>false</LinksUpToDate>
  <CharactersWithSpaces>4839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2025-09-28T11:20:00Z</dcterms:created>
  <dc:creator>나무</dc:creator>
  <cp:lastModifiedBy>心冷。</cp:lastModifiedBy>
  <dcterms:modified xsi:type="dcterms:W3CDTF">2025-11-26T07:32:19Z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44CE30AC8AAB44AF8B60B7446F929448_11</vt:lpwstr>
  </property>
  <property fmtid="{D5CDD505-2E9C-101B-9397-08002B2CF9AE}" pid="4" name="KSOTemplateDocerSaveRecord">
    <vt:lpwstr>eyJoZGlkIjoiYTkyMzkxNTVlYjc1NWMwY2FlMjlhMWI2MzFiZTVhYjMiLCJ1c2VySWQiOiIzMDk5MzEzMTYifQ==</vt:lpwstr>
  </property>
</Properties>
</file>