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版本号：ZCBN-鄠邑区-2025-0046320251203001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鄠邑区余下街道办赵家堡村排洪渠道清淤修复工程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ZCBN-鄠邑区-2025-00463</w:t>
      </w:r>
      <w:r>
        <w:br/>
      </w:r>
      <w:r>
        <w:br/>
      </w:r>
      <w:r>
        <w:br/>
      </w:r>
    </w:p>
    <w:p>
      <w:pPr>
        <w:pStyle w:val="null3"/>
        <w:jc w:val="center"/>
        <w:outlineLvl w:val="2"/>
      </w:pPr>
      <w:r>
        <w:rPr>
          <w:rFonts w:ascii="仿宋_GB2312" w:hAnsi="仿宋_GB2312" w:cs="仿宋_GB2312" w:eastAsia="仿宋_GB2312"/>
          <w:sz w:val="28"/>
          <w:b/>
        </w:rPr>
        <w:t>西安市鄠邑区余下水利管理站</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西安市鄠邑区余下水利管理站</w:t>
      </w:r>
      <w:r>
        <w:rPr>
          <w:rFonts w:ascii="仿宋_GB2312" w:hAnsi="仿宋_GB2312" w:cs="仿宋_GB2312" w:eastAsia="仿宋_GB2312"/>
        </w:rPr>
        <w:t>委托，拟对</w:t>
      </w:r>
      <w:r>
        <w:rPr>
          <w:rFonts w:ascii="仿宋_GB2312" w:hAnsi="仿宋_GB2312" w:cs="仿宋_GB2312" w:eastAsia="仿宋_GB2312"/>
        </w:rPr>
        <w:t>鄠邑区余下街道办赵家堡村排洪渠道清淤修复工程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ZCBN-鄠邑区-2025-00463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鄠邑区余下街道办赵家堡村排洪渠道清淤修复工程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项目主要建设内容如下： 1.渠道清淤及杂草清理:清淤渠道总长为1942m，包括赵家堡村东渠、西渠、中渠全线; 2.预制混凝土盖板防护:对东渠村内段285m、西渠村内段320m、中渠村内段300m,采用预制混凝土盖板防护； 3.维修部分渠道衬砌:东渠、西渠现状浆砌石渠道修复，共计200m，中渠预制混凝土板渠道修复200m，修复衬砌形式与原渠道保持一致; 4.渠道断面规整:对东渠现状土渠渠道段、西渠现状土渠渠道段进行规整，共计655m。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采购包1（鄠邑区余下街道办赵家堡村排洪渠道清淤修复工程）：属于专门面向中小企业采购。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5、书面声明：参加本次采购活动前三年内在经营活动中没有重大违纪的书面声明；</w:t>
      </w:r>
    </w:p>
    <w:p>
      <w:pPr>
        <w:pStyle w:val="null3"/>
      </w:pPr>
      <w:r>
        <w:rPr>
          <w:rFonts w:ascii="仿宋_GB2312" w:hAnsi="仿宋_GB2312" w:cs="仿宋_GB2312" w:eastAsia="仿宋_GB2312"/>
        </w:rPr>
        <w:t>6、信誉情况：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7、授权委托书：法定代表人授权书（附法定代表人、被授权人身份证复印件）（法定代表人直接参加磋商，须提供法定代表人身份证明及身份证复印件）；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8、企业资质：供应商须具备建设行政主管部门颁发的水利水电工程施工总承包三级及以上资质，具备有效的安全生产许可证；</w:t>
      </w:r>
    </w:p>
    <w:p>
      <w:pPr>
        <w:pStyle w:val="null3"/>
      </w:pPr>
      <w:r>
        <w:rPr>
          <w:rFonts w:ascii="仿宋_GB2312" w:hAnsi="仿宋_GB2312" w:cs="仿宋_GB2312" w:eastAsia="仿宋_GB2312"/>
        </w:rPr>
        <w:t>9、拟派项目经理：拟派项目经理须具备有效的水利水电工程专业二级（含二级）以上建造师注册证，具备水行政主管部门颁发的安全生产考核合格证（B证），且在本单位注册，无在建工程；</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西安市鄠邑区余下水利管理站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西安市鄠邑区余下镇中心南街216号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029-84910463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陕西省咸阳市秦都区西里路以西亨浩集团6楼西侧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029-33687895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代理服务费收费标准：1、招标代理服务费以中标价为基数，参照国家计委关于印发《代理服务收费管理暂行办法》的通知（计价格〔2002〕1980号）、《国家发展和改革委员会办公厅关 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西安市鄠邑区余下水利管理站</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西安市鄠邑区余下水利管理站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西安市鄠邑区余下水利管理站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联系人：董洁</w:t>
      </w:r>
    </w:p>
    <w:p>
      <w:pPr>
        <w:pStyle w:val="null3"/>
      </w:pPr>
      <w:r>
        <w:rPr>
          <w:rFonts w:ascii="仿宋_GB2312" w:hAnsi="仿宋_GB2312" w:cs="仿宋_GB2312" w:eastAsia="仿宋_GB2312"/>
        </w:rPr>
        <w:t>联系电话：029-33687895</w:t>
      </w:r>
    </w:p>
    <w:p>
      <w:pPr>
        <w:pStyle w:val="null3"/>
      </w:pPr>
      <w:r>
        <w:rPr>
          <w:rFonts w:ascii="仿宋_GB2312" w:hAnsi="仿宋_GB2312" w:cs="仿宋_GB2312" w:eastAsia="仿宋_GB2312"/>
        </w:rPr>
        <w:t>地址：陕西省咸阳市秦都区西里路以西亨浩集团6楼西侧</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895,600.00</w:t>
      </w:r>
    </w:p>
    <w:p>
      <w:pPr>
        <w:pStyle w:val="null3"/>
      </w:pPr>
      <w:r>
        <w:rPr>
          <w:rFonts w:ascii="仿宋_GB2312" w:hAnsi="仿宋_GB2312" w:cs="仿宋_GB2312" w:eastAsia="仿宋_GB2312"/>
        </w:rPr>
        <w:t>采购包最高限价（元）: 656,474.00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鄠邑区余下街道办赵家堡村排洪渠道清淤修复工程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895,600.00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标的名称：鄠邑区余下街道办赵家堡村排洪渠道清淤修复工程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鄠邑</w:t>
            </w:r>
            <w:r>
              <w:rPr>
                <w:rFonts w:ascii="仿宋_GB2312" w:hAnsi="仿宋_GB2312" w:cs="仿宋_GB2312" w:eastAsia="仿宋_GB2312"/>
              </w:rPr>
              <w:t>区余下街道办赵家堡村排洪渠道清淤修复工程，通过对赵家堡村排洪渠道清淤疏浚、修复，使其满足排洪的要求，保障沿渠居民、耕地安全。</w:t>
            </w:r>
          </w:p>
          <w:p>
            <w:pPr>
              <w:pStyle w:val="null3"/>
            </w:pPr>
            <w:r>
              <w:rPr>
                <w:rFonts w:ascii="仿宋_GB2312" w:hAnsi="仿宋_GB2312" w:cs="仿宋_GB2312" w:eastAsia="仿宋_GB2312"/>
              </w:rPr>
              <w:t>2、工程地点:鄠邑区余下街道办赵家堡村。</w:t>
            </w:r>
          </w:p>
          <w:p>
            <w:pPr>
              <w:pStyle w:val="null3"/>
            </w:pPr>
            <w:r>
              <w:rPr>
                <w:rFonts w:ascii="仿宋_GB2312" w:hAnsi="仿宋_GB2312" w:cs="仿宋_GB2312" w:eastAsia="仿宋_GB2312"/>
              </w:rPr>
              <w:t>3、计划工期:1个月。</w:t>
            </w:r>
          </w:p>
          <w:p>
            <w:pPr>
              <w:pStyle w:val="null3"/>
            </w:pPr>
            <w:r>
              <w:rPr>
                <w:rFonts w:ascii="仿宋_GB2312" w:hAnsi="仿宋_GB2312" w:cs="仿宋_GB2312" w:eastAsia="仿宋_GB2312"/>
              </w:rPr>
              <w:t>4、缺陷责任期(工程质量保修期):竣工验收后两年。</w:t>
            </w:r>
          </w:p>
          <w:p>
            <w:pPr>
              <w:pStyle w:val="null3"/>
            </w:pPr>
            <w:r>
              <w:rPr>
                <w:rFonts w:ascii="仿宋_GB2312" w:hAnsi="仿宋_GB2312" w:cs="仿宋_GB2312" w:eastAsia="仿宋_GB2312"/>
                <w:sz w:val="21"/>
              </w:rPr>
              <w:t>5、质量标准：符合国家及地方现行有关施工质量验收规范“合格”要求。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二电子版，书籍（胶装）方式装订的盖章的纸质文件，若正本和副本不一致的，以正本为准。送至陕西省陕西省咸阳市秦都区西里路以西亨浩集团6楼西侧。（2）供应商务必在开标截止时间30分钟前，通过项目电子化交易系统进行签到，如未进行签到，产生的一起后果由供应商自行承担。 （3）供应商的磋商报价包括施工机械使用费、人工费、材料与设备费、维护费、其他（运杂费、质检费、安装费、缺陷修复费、保险费，以及合同明示或暗示的风险、责任和义务等），以及管理费、税金、利润、采购代理服务费等所有费用，并符合建设工程计价规则。（4）签名是指手写签名或者加盖姓名章，盖章是指加盖单位印章。（5）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供应商须具备建设行政主管部门颁发的水利水电工程施工总承包三级及以上资质，具备有效的安全生产许可证；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供应商资格要求.docx 项目管理机构组成表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施工组织方案.docx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施工组织方案.docx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（1）磋商报价符合唯一性要求；（2）第一次磋商报价表填写符合要求；（3）计量单位、报价货币均符合磋商文件要求；（4）未超出磋商文件规定的最高限价。</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一、评审内容：提供针对本项目的施工方案。内容包含：①施工准备：技术准备、材料准备、机械准备、机具准备、劳动力准备等。② 施工方法及工艺；③重难点及解决方案；④应急方案。二、评审标准：1、完整性：响应全面，对评审内容中的各项要求有详细描述；2、可实施性：内容科学，步骤清晰、合理，可实施性强；3、针对性：能够紧扣项目实际情况，满足具体要求。 三、赋分标准：（满分24分） ①施工准备：每完全满足一个评审标准得2分，满分6分； ②施工方法及工艺：每完全满足一个评审标准得2分，满分6分。③重难点及解决方案：每完全满足一个评审标准得2分，满分6分。④应急方案：每完全满足一个评审标准得2分，满分6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施工进度</w:t>
            </w:r>
          </w:p>
        </w:tc>
        <w:tc>
          <w:tcPr>
            <w:tcW w:type="dxa" w:w="2492"/>
          </w:tcPr>
          <w:p>
            <w:pPr>
              <w:pStyle w:val="null3"/>
            </w:pPr>
            <w:r>
              <w:rPr>
                <w:rFonts w:ascii="仿宋_GB2312" w:hAnsi="仿宋_GB2312" w:cs="仿宋_GB2312" w:eastAsia="仿宋_GB2312"/>
              </w:rPr>
              <w:t>总工期满足采购文件要求、进度计划有网络图、节点工期控制合理得4分；总工期满足采购文件要求、进度计划有网络图，节点工期控制基本合理得2分；总工期满足采购文件要求，无网络图、无节点工期控制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一、评审内容：供应商针对本项目质量管理体系及保证措施，内容包含：①质量管理体系；②质量保障措施。 二、评审标准：1、完整性：响应全面，对评审内容中的各项要求有详细描述；2、可实施性：内容科学，步骤清晰、合理，可实施性强；3、针对性：能够紧扣项目实际情况，满足具体要求。 三、赋分标准：（满分6分） ①质量管理体系：每完全满足一个评审标准得1分，满分3分； ②质量保障措施：每完全满足一个评审标准得1分，满分3分。每有一项评审内容存在缺陷，扣（0-1）分，扣完为止。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一、评审内容：提供针对本项目的安全管理体系与相关措施。内容包含：①安全管理体系②安全保障措施等。 二、评审标准：1、完整性：响应全面，对评审内容中的各项要求有详细描述；2、可实施性：内容科学，步骤清晰、合理，可实施性强；3、针对性：能够紧扣项目实际情况，满足具体要求。 三、赋分标准：（满分6分） ①安全管理体系：每完全满足一个评审标准得1分，满分3分； ②安全保障措施等：每完全满足一个评审标准得1分，满分3分。每有一项评审内容存在缺陷，扣（0-1）分，扣完为止。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文明施工</w:t>
            </w:r>
          </w:p>
        </w:tc>
        <w:tc>
          <w:tcPr>
            <w:tcW w:type="dxa" w:w="2492"/>
          </w:tcPr>
          <w:p>
            <w:pPr>
              <w:pStyle w:val="null3"/>
            </w:pPr>
            <w:r>
              <w:rPr>
                <w:rFonts w:ascii="仿宋_GB2312" w:hAnsi="仿宋_GB2312" w:cs="仿宋_GB2312" w:eastAsia="仿宋_GB2312"/>
              </w:rPr>
              <w:t>一、评审内容：提供针对本项目的文明施工保证体系及保证措施，内容包含：①文明施工保证体系②文明施工的保证措施。 二、评审标准：1、完整性：响应全面，对评审内容中的各项要求有详细描述；2、可实施性：内容科学，步骤清晰、合理，可实施性强；3、针对性：能够紧扣项目实际情况，满足具体要求。 三、赋分标准：（满分6分） ①文明施工保证体系：每完全满足一个评审标准得1分，满分3分；②文明施工的保证措施：每完全满足一个评审标准得 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一、评审内容：提供针对本项目的环境保护管理体系及保证措施，内容包含：①环境保护管理体系②环保保护措施，包括污染物及废弃物处理的排放、噪音控制、防尘及扬尘的控制措施。 二、评审标准：1、完整性：响应全面，对评审内容中的各项要求有详细描述；2、可实施性：内容科学，步骤清晰、合理，可实施性强；3、针对性：能够紧扣项目实际情况，满足具体要求。 三、赋分标准：（满分6分） ①环境保护管理体系：每完全满足一个评审标准得1分，满分3分；②环保保护措施：每完全满足一个评审标准得 1分，满分3分；每有一项评审内容存在缺陷，扣（0-1）分，扣完为止。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一、评审内容：提供针对本项目组织机构，内容包含：①管理机构配备计划；②组织机构岗位职责。 一、评审标准：1、完整性：响应全面，对评审内容中的各项要求有详细描述；2、可实施性：内容科学，步骤清晰、合理，可实施性强；3、针对性：能够紧扣项目实际情况，满足具体要求。 三、赋分标准：（满分3分） ①管理机构配备计：划每完全满足一个评审标准得0.5分，满分1.5分； ②组织机构岗位职责：每完全满足一个评审标准得 0.5分，满分1.5分；每有一项评审内容存在缺陷，扣（0-0.5）分，扣完为止。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1）供应商近三年（2022年1月1日至今）有类似项目的,每有一个得1分，满分得3分。 2）项目经理近三年（2022年1月1日至今）有类似项目的,每有一个得2分，满分得2分。 注：业绩需附中标通知书或合同协议书。未提供不计分。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满足磋商文件要求且最后报价最低的供应商的价格为磋商基准价，其价格分为满分。其他供应商的价格分统一按照下列公式计算：磋商报价得分=（磋商基准价/磋商评审价）×40%×100。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