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版本号：FYZC-XA-2025-008(GK)20251205001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西安市鄠邑区2025年改善普通高中学校办学条件（第二批）设备采购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FYZC-XA-2025-008(GK)</w:t>
      </w:r>
      <w:r>
        <w:br/>
      </w:r>
      <w:r>
        <w:br/>
      </w:r>
      <w:r>
        <w:br/>
      </w:r>
    </w:p>
    <w:p>
      <w:pPr>
        <w:pStyle w:val="null3"/>
        <w:jc w:val="center"/>
        <w:outlineLvl w:val="2"/>
      </w:pPr>
      <w:r>
        <w:rPr>
          <w:rFonts w:ascii="仿宋_GB2312" w:hAnsi="仿宋_GB2312" w:cs="仿宋_GB2312" w:eastAsia="仿宋_GB2312"/>
          <w:sz w:val="28"/>
          <w:b/>
        </w:rPr>
        <w:t>西安市鄠邑区教育局</w:t>
      </w:r>
    </w:p>
    <w:p>
      <w:pPr>
        <w:pStyle w:val="null3"/>
        <w:jc w:val="center"/>
        <w:outlineLvl w:val="2"/>
      </w:pPr>
      <w:r>
        <w:rPr>
          <w:rFonts w:ascii="仿宋_GB2312" w:hAnsi="仿宋_GB2312" w:cs="仿宋_GB2312" w:eastAsia="仿宋_GB2312"/>
          <w:sz w:val="28"/>
          <w:b/>
        </w:rPr>
        <w:t>沣禹项目管理咨询有限公司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沣禹项目管理咨询有限公司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西安市鄠邑区教育局</w:t>
      </w:r>
      <w:r>
        <w:rPr>
          <w:rFonts w:ascii="仿宋_GB2312" w:hAnsi="仿宋_GB2312" w:cs="仿宋_GB2312" w:eastAsia="仿宋_GB2312"/>
        </w:rPr>
        <w:t>委托，拟对</w:t>
      </w:r>
      <w:r>
        <w:rPr>
          <w:rFonts w:ascii="仿宋_GB2312" w:hAnsi="仿宋_GB2312" w:cs="仿宋_GB2312" w:eastAsia="仿宋_GB2312"/>
        </w:rPr>
        <w:t>西安市鄠邑区2025年改善普通高中学校办学条件（第二批）设备采购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FYZC-XA-2025-008(GK)</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西安市鄠邑区2025年改善普通高中学校办学条件（第二批）设备采购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西安市鄠邑区2025年改善普通高中学校办学条件（第二批）设备采购涉及3所学校，主要包括：鄠邑区第一中学学生宿舍架子床及柜子174套；惠安中学智慧黑板15套；电厂中学智慧黑板8套。用途：教育、教学。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1、有效的主体证明：有独立承担民事责任能力的法人、其他组织或自然人，统一社会信用代码营业执照（事业单位提供事业单位法人证书，自然人提供本人身份证）合法有效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3、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提供经审计的2024年度已赋码且完整的财务报告（成立时间至提交投标文件截止时间不足一年的可提供成立后任意时段的资产负债表；事业单位提供财务报表，财务报表应当包括：资产负债表、收入支出表或者收入费用表、财政补助收入支出表）或提供投标文件递交截止时间前六个月内的基本账户开户银行出具的资信证明</w:t>
      </w:r>
    </w:p>
    <w:p>
      <w:pPr>
        <w:pStyle w:val="null3"/>
      </w:pPr>
      <w:r>
        <w:rPr>
          <w:rFonts w:ascii="仿宋_GB2312" w:hAnsi="仿宋_GB2312" w:cs="仿宋_GB2312" w:eastAsia="仿宋_GB2312"/>
        </w:rPr>
        <w:t>5、税收缴纳证明：提供投标文件递交截止时间前六个月内已缴纳的至少一个月的纳税证明或完税证明，依法免税的单位应提供相关证明材料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6、社会保障资金缴纳证明：提供投标文件递交截止时间前六个月内已缴存的至少一个月的社会保障资金缴纳凭证或证明，依法不需要缴纳社会保障资金的单位应提供相关证明材料</w:t>
      </w:r>
    </w:p>
    <w:p>
      <w:pPr>
        <w:pStyle w:val="null3"/>
      </w:pPr>
      <w:r>
        <w:rPr>
          <w:rFonts w:ascii="仿宋_GB2312" w:hAnsi="仿宋_GB2312" w:cs="仿宋_GB2312" w:eastAsia="仿宋_GB2312"/>
        </w:rPr>
        <w:t>7、重大违法记录书面声明：参加政府采购活动前3年内，在经营活动中没有重大违法记录（提供书面声明）</w:t>
      </w:r>
    </w:p>
    <w:p>
      <w:pPr>
        <w:pStyle w:val="null3"/>
      </w:pPr>
      <w:r>
        <w:rPr>
          <w:rFonts w:ascii="仿宋_GB2312" w:hAnsi="仿宋_GB2312" w:cs="仿宋_GB2312" w:eastAsia="仿宋_GB2312"/>
        </w:rPr>
        <w:t>8、履行专业技术能力：提供具有履行本合同所必需的设备和专业技术能力的书面声明</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10、联合体承诺函：本项目不接受联合体投标（提供承诺函）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029-84912962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沣禹项目管理咨询有限公司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陕西省西安市未央区凤城八路水晶新天地1803室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赵娅琦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15332373965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国家发改委《招标代理服务收费管理暂行办法》（计价格〔2002〕1980号）以及《关于进一步放开建设项目专项业务服务价格的通知》（发改价格〔2015〕299号）规定的标准收取执行。 2、中标单位在领取中标通知书之前，须向代理机构支付招标代理服务费。 招标代理服务费以转账或现金形式缴纳至以下账户：名 称：沣禹项目管理咨询有限公司，帐 号：806010901421011981，开户行：长安银行股份有限公司西安未央区支行。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西安市鄠邑区教育局</w:t>
      </w:r>
      <w:r>
        <w:rPr>
          <w:rFonts w:ascii="仿宋_GB2312" w:hAnsi="仿宋_GB2312" w:cs="仿宋_GB2312" w:eastAsia="仿宋_GB2312"/>
        </w:rPr>
        <w:t>和</w:t>
      </w:r>
      <w:r>
        <w:rPr>
          <w:rFonts w:ascii="仿宋_GB2312" w:hAnsi="仿宋_GB2312" w:cs="仿宋_GB2312" w:eastAsia="仿宋_GB2312"/>
        </w:rPr>
        <w:t>沣禹项目管理咨询有限公司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沣禹项目管理咨询有限公司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沣禹项目管理咨询有限公司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质量符合国家法律法规规定的合格标准、招标文件、投标文件的要求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联系人：赵娅琦</w:t>
      </w:r>
    </w:p>
    <w:p>
      <w:pPr>
        <w:pStyle w:val="null3"/>
      </w:pPr>
      <w:r>
        <w:rPr>
          <w:rFonts w:ascii="仿宋_GB2312" w:hAnsi="仿宋_GB2312" w:cs="仿宋_GB2312" w:eastAsia="仿宋_GB2312"/>
        </w:rPr>
        <w:t>联系电话：15332373965</w:t>
      </w:r>
    </w:p>
    <w:p>
      <w:pPr>
        <w:pStyle w:val="null3"/>
      </w:pPr>
      <w:r>
        <w:rPr>
          <w:rFonts w:ascii="仿宋_GB2312" w:hAnsi="仿宋_GB2312" w:cs="仿宋_GB2312" w:eastAsia="仿宋_GB2312"/>
        </w:rPr>
        <w:t>地址：陕西省西安市未央区凤城八路水晶新天地1803室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西安市</w:t>
      </w:r>
      <w:r>
        <w:rPr>
          <w:rFonts w:ascii="仿宋_GB2312" w:hAnsi="仿宋_GB2312" w:cs="仿宋_GB2312" w:eastAsia="仿宋_GB2312"/>
          <w:sz w:val="21"/>
        </w:rPr>
        <w:t>鄠</w:t>
      </w:r>
      <w:r>
        <w:rPr>
          <w:rFonts w:ascii="仿宋_GB2312" w:hAnsi="仿宋_GB2312" w:cs="仿宋_GB2312" w:eastAsia="仿宋_GB2312"/>
          <w:sz w:val="21"/>
        </w:rPr>
        <w:t>邑区2025年改善普通高中学校办学条件（第二批）设备采购涉及3所学校，主要包括：</w:t>
      </w:r>
      <w:r>
        <w:rPr>
          <w:rFonts w:ascii="仿宋_GB2312" w:hAnsi="仿宋_GB2312" w:cs="仿宋_GB2312" w:eastAsia="仿宋_GB2312"/>
          <w:sz w:val="21"/>
        </w:rPr>
        <w:t>鄠</w:t>
      </w:r>
      <w:r>
        <w:rPr>
          <w:rFonts w:ascii="仿宋_GB2312" w:hAnsi="仿宋_GB2312" w:cs="仿宋_GB2312" w:eastAsia="仿宋_GB2312"/>
          <w:sz w:val="21"/>
        </w:rPr>
        <w:t>邑区第一中学学生宿舍架子床及柜子174套</w:t>
      </w:r>
      <w:r>
        <w:rPr>
          <w:rFonts w:ascii="仿宋_GB2312" w:hAnsi="仿宋_GB2312" w:cs="仿宋_GB2312" w:eastAsia="仿宋_GB2312"/>
          <w:sz w:val="21"/>
        </w:rPr>
        <w:t>46万元</w:t>
      </w:r>
      <w:r>
        <w:rPr>
          <w:rFonts w:ascii="仿宋_GB2312" w:hAnsi="仿宋_GB2312" w:cs="仿宋_GB2312" w:eastAsia="仿宋_GB2312"/>
          <w:sz w:val="21"/>
        </w:rPr>
        <w:t>；惠安中学智慧黑板15套</w:t>
      </w:r>
      <w:r>
        <w:rPr>
          <w:rFonts w:ascii="仿宋_GB2312" w:hAnsi="仿宋_GB2312" w:cs="仿宋_GB2312" w:eastAsia="仿宋_GB2312"/>
          <w:sz w:val="21"/>
        </w:rPr>
        <w:t>33万元</w:t>
      </w:r>
      <w:r>
        <w:rPr>
          <w:rFonts w:ascii="仿宋_GB2312" w:hAnsi="仿宋_GB2312" w:cs="仿宋_GB2312" w:eastAsia="仿宋_GB2312"/>
          <w:sz w:val="21"/>
        </w:rPr>
        <w:t>；电厂中学智慧黑板8套</w:t>
      </w:r>
      <w:r>
        <w:rPr>
          <w:rFonts w:ascii="仿宋_GB2312" w:hAnsi="仿宋_GB2312" w:cs="仿宋_GB2312" w:eastAsia="仿宋_GB2312"/>
          <w:sz w:val="21"/>
        </w:rPr>
        <w:t>18万元</w:t>
      </w:r>
      <w:r>
        <w:rPr>
          <w:rFonts w:ascii="仿宋_GB2312" w:hAnsi="仿宋_GB2312" w:cs="仿宋_GB2312" w:eastAsia="仿宋_GB2312"/>
          <w:sz w:val="21"/>
        </w:rPr>
        <w:t>。用途：教育、教学。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智慧黑板、公寓床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标的名称：智慧黑板、公寓床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2"/>
              <w:gridCol w:w="184"/>
              <w:gridCol w:w="1737"/>
              <w:gridCol w:w="132"/>
              <w:gridCol w:w="184"/>
              <w:gridCol w:w="184"/>
            </w:tblGrid>
            <w:tr>
              <w:tc>
                <w:tcPr>
                  <w:tcW w:type="dxa" w:w="132"/>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序号</w:t>
                  </w:r>
                </w:p>
              </w:tc>
              <w:tc>
                <w:tcPr>
                  <w:tcW w:type="dxa" w:w="184"/>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名称</w:t>
                  </w:r>
                </w:p>
              </w:tc>
              <w:tc>
                <w:tcPr>
                  <w:tcW w:type="dxa" w:w="1737"/>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参数</w:t>
                  </w:r>
                </w:p>
              </w:tc>
              <w:tc>
                <w:tcPr>
                  <w:tcW w:type="dxa" w:w="132"/>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数量</w:t>
                  </w:r>
                </w:p>
              </w:tc>
              <w:tc>
                <w:tcPr>
                  <w:tcW w:type="dxa" w:w="184"/>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单位</w:t>
                  </w:r>
                </w:p>
              </w:tc>
              <w:tc>
                <w:tcPr>
                  <w:tcW w:type="dxa" w:w="184"/>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备注</w:t>
                  </w: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1</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智慧黑板（核心产品）</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一、整体设计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设备采用全金属外壳，三拼接平面一体化设计，屏幕边缘采用圆角包边防护，整机背板采用金属材质，整体尺寸：宽≥4200mm，高≥1200mm；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设备采用86寸超高清LED液晶显示屏，显示比例16:9，分辨率≥3840×2160。整机中间主屏及两侧副屏支持多种媒介进行板书书写；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支持在Windows及Android系统中进行40点或以上触控。</w:t>
                  </w:r>
                </w:p>
                <w:p>
                  <w:pPr>
                    <w:pStyle w:val="null3"/>
                    <w:jc w:val="both"/>
                  </w:pPr>
                  <w:r>
                    <w:rPr>
                      <w:rFonts w:ascii="仿宋_GB2312" w:hAnsi="仿宋_GB2312" w:cs="仿宋_GB2312" w:eastAsia="仿宋_GB2312"/>
                      <w:sz w:val="21"/>
                    </w:rPr>
                    <w:t>二、电视系统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设备内置2.2声道扬声器，≥2个10W前朝向高音扬声器，≥2个20W上朝向中低音扬声器2个，额定总功率≥60W；</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设备扬声器在100%音量下，可做到1米处声压级≥87db，10米处声压级≥80dB；</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支持空间感知、标准、听力等音效模式，空间感知音效模式可通过麦克风采集环境声音，生成符合当前环境的音量、音效、频段。提供生产厂家确认的、相应的功能证明材料（包括但不限于测试报告、官网和功能截图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设备内置非独立外扩展的≥8阵列麦克风，拾音角度≥180°，拾音距离≥12m；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设备支持色彩空间选择，包含标准和sRGB两种模式，在sRGB模式下可做到高色准△E≤1.2。提供生产厂家确认的、相应的功能证明材料（包括但不限于测试报告、官网和功能截图等）；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设备背光系统支持多级亮度调节，支持白颜色背景下最暗亮度≤100nit；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▲可根据屏幕内容自动调节画质参数，当出现人物、建筑等元素时，自动调整对比度、饱和度、高光、色调色相值等。提供生产厂家确认的、相应的功能证明材料（包括但不限于测试报告、官网和功能截图等）；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设备采用硬件低蓝光背光技术，在源头减少有害蓝光波段能量，蓝光占比＜50%，低蓝光保护显示不偏色、不泛黄；</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设备支持设置类纸质护眼显示，可实现纹理调整，同时画面各像素点灰度不规则，支持纸质的纹理有：素描纸、宣纸、水彩纸、水纹纸；支持透明度调节。</w:t>
                  </w:r>
                </w:p>
                <w:p>
                  <w:pPr>
                    <w:pStyle w:val="null3"/>
                    <w:jc w:val="both"/>
                  </w:pPr>
                  <w:r>
                    <w:rPr>
                      <w:rFonts w:ascii="仿宋_GB2312" w:hAnsi="仿宋_GB2312" w:cs="仿宋_GB2312" w:eastAsia="仿宋_GB2312"/>
                      <w:sz w:val="21"/>
                    </w:rPr>
                    <w:t>三、整机功能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▲设备内置非独立摄像头，采用一体化集成设计，≥4800万像素。提供生产厂家确认的、相应的功能证明材料（包括但不限于测试报告、官网和功能截图等）；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摄像头支持人脸识别，可识别所有学生，显示标记，然后随机抽选，同时显示标记不少于55人。且支持通过识别教师人脸进行登录账号；</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摄像头支持环境色温判断，根据环境调节合适的显示图像效果。提供生产厂家确认的、相应的功能证明材料（包括但不限于测试报告、官网和功能截图等）；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设备支持提笔书写，在Windows系统下，当检测到笔尖接触屏幕时，自动进入书写模式，无需点击任何功能设置；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触摸支持动态压力感应，支持非电子书写笔书写或点压时，屏幕能感应压力变化，书写或点压过程的笔迹呈现粗细变化。提供生产厂家确认的、相应的功能证明材料（包括但不限于测试报告、官网和功能截图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设备书写触控延迟≤25ms，支持同一支笔的笔头、笔尾可书写不同的颜色；</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设备内置双WiFi6无线网卡，在Android和Windows系统下，可实现WiFi无线上网连接、AP无线热点发射。提供生产厂家确认的、相应的功能证明材料（包括但不限于测试报告、官网和功能截图等）；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设备关机状态下，长按电源键进入菜单，可点击屏幕选择恢复Android系统及Windows操作系统到出厂默认状态；</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设备全通道侧边栏可以展示学校名称、班级、场地信息等内容；</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设备教学桌面支持进行壁纸编辑，并支持自定义壁纸。</w:t>
                  </w:r>
                </w:p>
                <w:p>
                  <w:pPr>
                    <w:pStyle w:val="null3"/>
                    <w:jc w:val="both"/>
                  </w:pPr>
                  <w:r>
                    <w:rPr>
                      <w:rFonts w:ascii="仿宋_GB2312" w:hAnsi="仿宋_GB2312" w:cs="仿宋_GB2312" w:eastAsia="仿宋_GB2312"/>
                      <w:sz w:val="21"/>
                    </w:rPr>
                    <w:t>四、安卓系统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安卓系统版本不低于Android 14.0。提供生产厂家确认的、相应的功能证明材料（包括但不限于测试报告、官网和功能截图等）；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▲整机嵌入式芯片内置≥2TOPS AI算力，可用于AI图像、音频处理。提供生产厂家确认的、相应的功能证明材料（包括但不限于测试报告、官网和功能截图等）；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▲设备内置朗读工具，通过麦克风检测算法监测教室中学生的朗读情况，以游戏化界面呈现朗读积极性。提供生产厂家确认的、相应的功能证明材料（包括但不限于测试报告、官网和功能截图等）；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设备内置自习工具，通过麦克风检测算法监测教室中学生音量大小，当学生音量大于一定标准时，自动弹窗提醒。</w:t>
                  </w:r>
                </w:p>
                <w:p>
                  <w:pPr>
                    <w:pStyle w:val="null3"/>
                    <w:jc w:val="both"/>
                  </w:pPr>
                  <w:r>
                    <w:rPr>
                      <w:rFonts w:ascii="仿宋_GB2312" w:hAnsi="仿宋_GB2312" w:cs="仿宋_GB2312" w:eastAsia="仿宋_GB2312"/>
                      <w:sz w:val="21"/>
                    </w:rPr>
                    <w:t>五、电脑配置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采用抽拉内置式模块化电脑，抽拉内置式，PC模块可插入整机，可实现无单独接线的插拔。按压式卡扣方式，无需工具即可快速拆卸电脑模块；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搭载Intel酷睿 i5或以上配置CPU。内存：8 GB DDR4笔记本内存或以上配置。硬盘：256 GB SSD固态硬盘或以上配置；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设备具备供电保护模块，可检测内置电脑是否插好，如内置电脑未查好情况下，内置电脑无法上电工作。</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套</w:t>
                  </w:r>
                </w:p>
              </w:tc>
              <w:tc>
                <w:tcPr>
                  <w:tcW w:type="dxa" w:w="184"/>
                  <w:vMerge w:val="restart"/>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电厂中学（8套）惠安中学（15套）</w:t>
                  </w: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白板软件</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一、软件功能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备授课一体化，具有备课模式及授课模式，且操作界面根据备课和授课使用场景不同而区别设计，符合用户使用需求；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为使用方全体教师配备个人账号，形成一体的信息化教学账号体系；根据教师账号信息将教师云空间匹配至对应学校、学科校本资源库；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支持通过数字账号、微信二维码、硬件密钥方式登录教师个人账号；</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为老师提供可扩展，易于学校管理，安全可靠的云存储空间，根据教师使用时长与教学资料制作频率提供可扩展升级至≥5TB的个人云空间。提供生产厂家确认的、相应的功能证明材料（包括但不限于测试报告、官网和功能截图等）；</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智能备课助手：在备课场景中支持搜索课件库课件资源，支持整份课件或按照课件页插入课件中。支持按照教学环节筛选对应课件页一键插入课件中，可导入新课、作者简介。支持按照元素类型思维导图、课堂活动选取需要的部分补充课件缺失的部分。支持在查看部分课件的同时查看对应整份课件，了解作者整体教学思路。提供生产厂家确认的、相应的功能证明材料（包括但不限于测试报告、官网和功能截图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具备集体备课功能，支持上传教案、课件等资源发起集体备课研讨，除本校老师可参与外，还可通过手机号邀请外校老师，方便跨校教研场景；</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集体备课的参备人可发表观点，评论实时提醒，对教案可进行批注，完成研讨后，可生成集体备课报告，参备人可查看并下载报告，支持查看研讨过程全数据；</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研讨发起人在研讨过程中可发起在线视频在线研讨，构建线上同步研讨，研讨内容自动形成视频记录，可以自动生成视频回放字幕，对研讨的关键词和对话进行提炼。提供生产厂家确认的、相应的功能证明材料（包括但不限于测试报告、官网和功能截图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支持提供在线课堂功能，无需额外安装部署直播软件，可实现语音直播、课件同步、互动工具等远程教学功能；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提供直线、箭头、正方形、圆角四边形、平行四边形、圆形、等腰三角形、直角三角形、菱形、梯形、五边形等基本几何图形；</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支持将互动课件导出为pptx、pdf、H5或web链接，在多终端（包含windows、iOS、安卓、国产操作系统等）可再次编辑；</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二、学科工具</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提供生产厂家确认的、相应的功能证明材料（包括但不限于测试报告、官网和功能截图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▲软件内置英文智能语义分析模块，可对英文文本的拼写、句型、语法等进行错误检查，并可一键纠错。提供生产厂家确认的、相应的功能证明材料（包括但不限于测试报告、官网和功能截图等）；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支持浏览和插入国际音标表，可直接点击发音，支持整表和单个音标卡片插入。支持将字母、单词、句子转写为音标，并可插入到课件中形成文本；</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套</w:t>
                  </w:r>
                </w:p>
              </w:tc>
              <w:tc>
                <w:tcPr>
                  <w:tcW w:type="dxa" w:w="184"/>
                  <w:vMerge/>
                  <w:tcBorders>
                    <w:top w:val="none" w:color="000000" w:sz="4"/>
                    <w:left w:val="non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移动授课软件</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一、整体设计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教学系统为教师提供对应的移动应用平台，实现备授课过程多终端多场景一体化；</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移动平台支持识别授课端登录状态，授课端处于登录状态时，移动应用平台自动连接移动端与授课端，无需人为操作；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移动端与授课端通过网络实现账号数据对接互通、远程管控、移动授课，无需部署外接设备。</w:t>
                  </w:r>
                </w:p>
                <w:p>
                  <w:pPr>
                    <w:pStyle w:val="null3"/>
                    <w:jc w:val="both"/>
                  </w:pPr>
                  <w:r>
                    <w:rPr>
                      <w:rFonts w:ascii="仿宋_GB2312" w:hAnsi="仿宋_GB2312" w:cs="仿宋_GB2312" w:eastAsia="仿宋_GB2312"/>
                      <w:sz w:val="21"/>
                    </w:rPr>
                    <w:t>二、移动授课</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无需局域网环境部署，教师可使用移动端进行课件翻页，课件预览、课件跳页、播放视频、播放课堂活动、展开思维导图。支持横竖屏两种模式；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支持移动端对授课端远程实时同步书写擦除，提供≥3种笔触粗细和≥5种笔迹颜色，支持一键清除书写内容；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支持调用移动端摄像头拍摄照片并直接插入课件，提供文档、普通和彩图3种拍照模式，适用于不同教学场景；</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支持上传移动端本地图片，并发上传数量≥9张。</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套</w:t>
                  </w:r>
                </w:p>
              </w:tc>
              <w:tc>
                <w:tcPr>
                  <w:tcW w:type="dxa" w:w="184"/>
                  <w:vMerge/>
                  <w:tcBorders>
                    <w:top w:val="none" w:color="000000" w:sz="4"/>
                    <w:left w:val="non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4</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教学数据分析管理平台</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后台采用B/S架构设计，支持学校管理者在Windows、Linux、Android、IOS等多种不同的操作系统上通过网页浏览器登陆进行操作，可统计全校教师软件活跃数据、学生点评及课件上传等数据；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支持管理员及教师使用网页端、移动端登录，移动端支持查看网页端数据信息，教师榜单，并定期推送数据分析报表，帮助学校检验信息化教学成果；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信息化指数：通过多维度分析学校的信息化教学应用情况，综合评估出信息化指数，并与全省均值进行对比，管理者可了解信息化教学进展；</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将信息化教学数据分五个维度进行评估，分别为资源建设、校本研修、校影响力、学情分析及班级氛围，并与全省均值对比，学校信息化教学情况一目了然。提供生产厂家确认的、相应的功能证明材料（包括但不限于测试报告、官网和功能截图等）；</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教研结构：支持管理者按照学段-学科-年级快速创建教师的教研组织结构，方便教师信息的分类管理；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信息管理：支持修改管理员、教师的账户信息，支持管理员上传校徽，并对本校内管理者账户都可见；</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管理员可自由选定教师发送学校通知，发送后，管理员可登录教研数字化管理平台后台实时查阅教师已读、未读情况。提供生产厂家确认的、相应的功能证明材料（包括但不限于测试报告、官网和功能截图等）；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为学校提供教研全流程管理服务，包含教学目标与计划、教学设计、集体备课、听课评课、班级氛围的流程管理和数据分析。提供生产厂家确认的、相应的功能证明材料（包括但不限于测试报告、官网和功能截图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教案模板管理：支持管理者自定义学校的教案模板，可以设置必填项和选填项，有效规范教师教案的编写；</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听评课数据统计导出：支持对不同评课维度得分进行统计，计算平均分并找出评分薄弱项，方便管理者针对性优化教学策略，同时支持查看全校的评课记录和得分详情，并可一键导出Excel表格，方便整理；</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电子教案：教师可以在个人空间直接编写教案，编写教案时可以关联课件，支持教师在个人空间、配套备授课工具查看课件以及教案，方便教师进行教学设计；</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校本资源管理：支持管理员在教研数字化管理平台后台移动、删除、重命名教师上传至校本库的课件、教案、微课及多媒体等资源（提供证明材料）。</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套</w:t>
                  </w:r>
                </w:p>
              </w:tc>
              <w:tc>
                <w:tcPr>
                  <w:tcW w:type="dxa" w:w="184"/>
                  <w:vMerge/>
                  <w:tcBorders>
                    <w:top w:val="none" w:color="000000" w:sz="4"/>
                    <w:left w:val="non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5</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集控管理平台</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系统布局：系统基于SaaS布局，应用界面采用B/S架构设计，支持学校管理员在多种不同的操作系统上通过网页浏览器登录进行所有管理指令操作；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专属工作台：支持老师根据管理习惯设置显隐组件来定制专属工作台。支持通过设备总览组件快捷查看学校所有设备实时状态及达标情况，以掌握设备应用于教学过程的流畅状态；支持通过设备巡视组件实时了解教室和设备的情况，满足纪律监管、教研评课等场景；支持通过设备使用情况组件了解设备活跃分布及长时间未使用的设备情况，设置智能策略来达到减缓设备寿命衰减的目的；</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数据中心：支持自定义设备类型及数量，掌握校内设备资产分布情况；支持根据老师、学科、设备三大维度查看设备使用排行，并提供信息化设备利用率提升指南；支持查看本校常用软件、网址访问排行、全校设备画面截图；支持查看设备网络负载、硬件负载情况，并提供网络优化、硬件升级指南。提供生产厂家确认的、相应的功能证明材料（包括但不限于测试报告、官网和功能截图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巡视：支持同时查看≥15个教室的实时摄像头画面、设备屏幕画面；支持在一个显示界面同时查看单个教室内所有屏幕、所有摄像头的实时画面，以及所有麦克风的声音，其中摄像头画面可直接使用班班通自带摄像头，也支持批量将学校已有网络摄像头导入系统内，同场地下的班班通设备会主动和网络摄像头建立连接，巡视时可调用网络摄像头查看教室实时画面；</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点播巡视：支持根据班级课程表，自动获取正在上课或者即将上课的科目、老师列表，快速定位老师所在教室，实时远程听课；支持听课过程中针对本节课的教学过程进行评价，支持创建和使用多个评课表，并将评价记录于巡视记录，便于回溯；</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管理者开启手机看班服务，开启/关闭看班的管控功能；拥有看班权限的老师可在移动端或PC客户端实时巡班，并进行基础远程管控，方便管理班级。支持管理者为普通老师直接分配、普通老师自行申请后由管理者在平台审核开通的2种方式管理看班的班级权限，所有权限调整均配备操作日志，便于出现问题后回溯原因；支持通过教师、设备维度查看拥有看班的权限明细，并支持快速调整权限。提供生产厂家确认的、相应的功能证明材料（包括但不限于测试报告、官网和功能截图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设备概览：支持实时查看设备当前在离线状态、监管率、联网率、达标率；支持通过五大维度，科学合理监测评估基建设备的稳定性。支持通过网络达标情况了解设备是否常态化联网，网络速率是否满足教学需要；支持通过硬件达标情况了解设备使用年限、CPU/内存/磁盘等硬件的配置；支持通过流畅度达标情况了解设备CPU占用/温度、内存占用、系统盘容量占用的情况，以判断设备是否可以流畅应用于教学环节；</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盘点：支持快速筛选全校所有设备网络、硬件、流畅度、安全四大指标的达标状态，快速定位和识别问题设备；支持自定义配置四项指标的达标阈值；支持快速导出全校所有设备的达标明细，方便学校盘点设备使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时事转播：支持实时强制转播时事新闻以协助校内思政内容传播，设备执行播放任务过程中可由学校老师扫码验证身份后退出本次转播服务执行；支持新闻网页地址、纯视频文件2种转播方式；支持立即、定时、周循环3种循环模式；支持指定设备定向发布内容；支持查看执行结果和计划列表。提供生产厂家确认的、相应的功能证明材料（包括但不限于测试报告、官网和功能截图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批量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冰点还原及穿透：支持远程批量设置设备的冰冻状态，支持实时监测设备冰点存在的风险。支持远程向已冰冻的设备发送指令、安装软件，设备接收到后会立即执行，并在设备正常关机时触发穿透动作，穿透完成后，设备即可使用已安装软件、执行已接收指令，且穿透过程中无需人为解冻。</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套</w:t>
                  </w:r>
                </w:p>
              </w:tc>
              <w:tc>
                <w:tcPr>
                  <w:tcW w:type="dxa" w:w="184"/>
                  <w:vMerge/>
                  <w:tcBorders>
                    <w:top w:val="none" w:color="000000" w:sz="4"/>
                    <w:left w:val="non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6</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视频展台</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一、硬件参数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采用≥800万像素摄像头；采用 USB五伏电源直接供电，无需额外配置电源适配器，环保无辐射；箱内USB连线采用隐藏式设计，箱内无可见连线且USB口下出，有效防止积尘，且方便布线和返修；</w:t>
                  </w:r>
                </w:p>
                <w:p>
                  <w:pPr>
                    <w:pStyle w:val="null3"/>
                    <w:jc w:val="both"/>
                  </w:pPr>
                  <w:r>
                    <w:rPr>
                      <w:rFonts w:ascii="仿宋_GB2312" w:hAnsi="仿宋_GB2312" w:cs="仿宋_GB2312" w:eastAsia="仿宋_GB2312"/>
                      <w:sz w:val="21"/>
                    </w:rPr>
                    <w:t>2.A4</w:t>
                  </w:r>
                  <w:r>
                    <w:rPr>
                      <w:rFonts w:ascii="仿宋_GB2312" w:hAnsi="仿宋_GB2312" w:cs="仿宋_GB2312" w:eastAsia="仿宋_GB2312"/>
                      <w:sz w:val="21"/>
                    </w:rPr>
                    <w:t>大小拍摄幅面，1080P动态视频预览达到30帧/秒；托板及挂墙部分采用金属加强，托板可承重≥3kg，整机壁挂式安装；</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支持展台成像画面实时批注，预设多种笔划粗细及颜色供选择，且支持对展台成像画面联同批注内容进行同步缩放、移动；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展示托板正上方具备LED补光灯，保证展示区域的亮度及展示效果。</w:t>
                  </w:r>
                </w:p>
                <w:p>
                  <w:pPr>
                    <w:pStyle w:val="null3"/>
                    <w:jc w:val="both"/>
                  </w:pPr>
                  <w:r>
                    <w:rPr>
                      <w:rFonts w:ascii="仿宋_GB2312" w:hAnsi="仿宋_GB2312" w:cs="仿宋_GB2312" w:eastAsia="仿宋_GB2312"/>
                      <w:sz w:val="21"/>
                    </w:rPr>
                    <w:t>二软件参数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支持对展台画面进行放大、缩小、旋转、自适应、冻结画面等操作；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支持展台画面实时批注，预设多种笔划粗细及颜色供选择，且支持对展台画面联同批注内容进行同步缩放、移动；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支持故障自动检测，在软件无法出现展台拍摄画面时，自动出现检测链接，帮助用户检测“无画面”的原因，并给出引导性解决方案。可判断硬件连接、显卡驱动、摄像头占用、软件版本等问题。</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台</w:t>
                  </w:r>
                </w:p>
              </w:tc>
              <w:tc>
                <w:tcPr>
                  <w:tcW w:type="dxa" w:w="184"/>
                  <w:vMerge/>
                  <w:tcBorders>
                    <w:top w:val="none" w:color="000000" w:sz="4"/>
                    <w:left w:val="non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7</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智能笔</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采用笔型设计，具有三个遥控按键（上下翻页和功能键），既可用于触摸书写，也可用于远程操控；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采用2.4G蓝牙无线连接技术，无线接收距离最大可达15米；</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无线接收器采用微型nano设计，整洁美观；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笔尖采用PE材质，经久耐磨，书写精度≤3mm；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使用电池驱动，并带自动休眠节电设计；</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支持白板课件、PPT、WPS、PDF等多种格式的课件进行远程无线翻页；</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功能按键可通过长按/短按实现两种快捷功能，方便教师操作；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支持自定义按键功能，可选功能包括：一键启动任意通道批注、一键启动/退出PPT播放、一键启动其他应用软件等。</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支</w:t>
                  </w:r>
                </w:p>
              </w:tc>
              <w:tc>
                <w:tcPr>
                  <w:tcW w:type="dxa" w:w="184"/>
                  <w:vMerge/>
                  <w:tcBorders>
                    <w:top w:val="none" w:color="000000" w:sz="4"/>
                    <w:left w:val="non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8</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讲桌</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外形尺寸：总体尺寸800*600*940mm；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通体采用裸板≥0.7mm优质冷轧钢板，讲台桌面采用平面设计，可以放置不同型号笔记本电脑，桌面四周半包围结构，有效防止物品滑落；讲台前面设置隐藏式抽拉储物盒，可放置笔记本电脑、键盘鼠标、板擦、粉笔等教学用具；</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讲台扶手采用高档实木制成，表面喷高档防滑漆，使用起来光滑度高，桌面三聚氰胺板颜色木纹色，使整个讲台看起来美观大方；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整体冲压成型，整体结构紧凑，空间设计合理；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讲台下柜前后门均可打开，整个下柜可作为储物柜使用；</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全部的加工件均采用模具成型，激光切加工而成、配合优良的焊接工艺，保障尺寸精度及各部件一致性，保证安装的方便快捷；</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整个讲台采用上下分体，拼装组成，大大的减少了运输成本。</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张</w:t>
                  </w:r>
                </w:p>
              </w:tc>
              <w:tc>
                <w:tcPr>
                  <w:tcW w:type="dxa" w:w="184"/>
                  <w:vMerge/>
                  <w:tcBorders>
                    <w:top w:val="none" w:color="000000" w:sz="4"/>
                    <w:left w:val="non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9</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施工、辅材辅料</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教室内施工部位需强电及网络到位，通讯正常。包含施工、线材及辅材辅料。</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23</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套</w:t>
                  </w:r>
                </w:p>
              </w:tc>
              <w:tc>
                <w:tcPr>
                  <w:tcW w:type="dxa" w:w="184"/>
                  <w:vMerge/>
                  <w:tcBorders>
                    <w:top w:val="none" w:color="000000" w:sz="4"/>
                    <w:left w:val="non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10</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公寓床</w:t>
                  </w:r>
                </w:p>
              </w:tc>
              <w:tc>
                <w:tcPr>
                  <w:tcW w:type="dxa" w:w="17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标准型单人位上床下桌式组合床，尺寸：2000*900*2050mm</w:t>
                  </w:r>
                </w:p>
                <w:p>
                  <w:pPr>
                    <w:pStyle w:val="null3"/>
                    <w:jc w:val="both"/>
                  </w:pPr>
                  <w:r>
                    <w:rPr>
                      <w:rFonts w:ascii="仿宋_GB2312" w:hAnsi="仿宋_GB2312" w:cs="仿宋_GB2312" w:eastAsia="仿宋_GB2312"/>
                      <w:sz w:val="21"/>
                    </w:rPr>
                    <w:t>一、立柱</w:t>
                  </w:r>
                </w:p>
                <w:p>
                  <w:pPr>
                    <w:pStyle w:val="null3"/>
                    <w:jc w:val="both"/>
                  </w:pPr>
                  <w:r>
                    <w:rPr>
                      <w:rFonts w:ascii="仿宋_GB2312" w:hAnsi="仿宋_GB2312" w:cs="仿宋_GB2312" w:eastAsia="仿宋_GB2312"/>
                      <w:sz w:val="21"/>
                    </w:rPr>
                    <w:t>颜色：乳白色</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材质尺寸：采用截面：≥72mm*72mm圆弧形封口型材，管材前部为圆弧形后部为平面，立柱下部安装ABS工程塑料外套；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管材材料壁厚≥1.2mm；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床头横撑采用≥30*60*l.0mm矩管。</w:t>
                  </w:r>
                </w:p>
                <w:p>
                  <w:pPr>
                    <w:pStyle w:val="null3"/>
                    <w:jc w:val="both"/>
                  </w:pPr>
                  <w:r>
                    <w:rPr>
                      <w:rFonts w:ascii="仿宋_GB2312" w:hAnsi="仿宋_GB2312" w:cs="仿宋_GB2312" w:eastAsia="仿宋_GB2312"/>
                      <w:sz w:val="21"/>
                    </w:rPr>
                    <w:t>二、前后床梃</w:t>
                  </w:r>
                </w:p>
                <w:p>
                  <w:pPr>
                    <w:pStyle w:val="null3"/>
                    <w:jc w:val="both"/>
                  </w:pPr>
                  <w:r>
                    <w:rPr>
                      <w:rFonts w:ascii="仿宋_GB2312" w:hAnsi="仿宋_GB2312" w:cs="仿宋_GB2312" w:eastAsia="仿宋_GB2312"/>
                      <w:sz w:val="21"/>
                    </w:rPr>
                    <w:t>颜色：乳白色</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材质尺寸：采用截面：≥90*40mm闭口式型材，其立面为中空异形；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床梃正面为直角设计，方便连接，其横梁下方折边为内折，增加立柱的强度；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床梃正面采用压筋的工艺增强强度，材料壁厚≥1.2mm。</w:t>
                  </w:r>
                </w:p>
                <w:p>
                  <w:pPr>
                    <w:pStyle w:val="null3"/>
                    <w:jc w:val="both"/>
                  </w:pPr>
                  <w:r>
                    <w:rPr>
                      <w:rFonts w:ascii="仿宋_GB2312" w:hAnsi="仿宋_GB2312" w:cs="仿宋_GB2312" w:eastAsia="仿宋_GB2312"/>
                      <w:sz w:val="21"/>
                    </w:rPr>
                    <w:t>三、护栏</w:t>
                  </w:r>
                </w:p>
                <w:p>
                  <w:pPr>
                    <w:pStyle w:val="null3"/>
                    <w:jc w:val="both"/>
                  </w:pPr>
                  <w:r>
                    <w:rPr>
                      <w:rFonts w:ascii="仿宋_GB2312" w:hAnsi="仿宋_GB2312" w:cs="仿宋_GB2312" w:eastAsia="仿宋_GB2312"/>
                      <w:sz w:val="21"/>
                    </w:rPr>
                    <w:t>颜色：前床梃乳白色，护栏板颜色可选；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护栏高度≥350mm；材质为纯钢制，上部横管采用≥25*25*1.2mm的D型管，中部横管、竖管采用≥20*20*1.2mm的方管；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护栏下方镶嵌厚度为≥0.6mm优质冷轧钢板，颜色可选，用于遮挡棉絮及具有私密性；护栏板居中处冲压φ120mm*5mm(深)的凹槽，圆形凹槽处可粘贴校徽信息，护栏板后面带钢制收纳盒，护栏与床梃整体焊接而成。护栏钢板高度≥235mm。</w:t>
                  </w:r>
                </w:p>
                <w:p>
                  <w:pPr>
                    <w:pStyle w:val="null3"/>
                    <w:jc w:val="both"/>
                  </w:pPr>
                  <w:r>
                    <w:rPr>
                      <w:rFonts w:ascii="仿宋_GB2312" w:hAnsi="仿宋_GB2312" w:cs="仿宋_GB2312" w:eastAsia="仿宋_GB2312"/>
                      <w:sz w:val="21"/>
                    </w:rPr>
                    <w:t>四、外挂爬梯</w:t>
                  </w:r>
                </w:p>
                <w:p>
                  <w:pPr>
                    <w:pStyle w:val="null3"/>
                    <w:jc w:val="both"/>
                  </w:pPr>
                  <w:r>
                    <w:rPr>
                      <w:rFonts w:ascii="仿宋_GB2312" w:hAnsi="仿宋_GB2312" w:cs="仿宋_GB2312" w:eastAsia="仿宋_GB2312"/>
                      <w:sz w:val="21"/>
                    </w:rPr>
                    <w:t>颜色：乳白色；</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外挂爬梯：边管采用≥40*20*1.2mm椭圆管；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踏板规格≥420*100*2.0mm，基材采用高强度碳钢一次冲压成型,踏步板上冲凹形槽，内镶环保材质防滑塑料踏板；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踏板与边管整体焊接成型，爬梯底部安装ABS消音耐磨外套；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爬梯上部安装与床梃连接的塑料件采用PP塑料外套。</w:t>
                  </w:r>
                </w:p>
                <w:p>
                  <w:pPr>
                    <w:pStyle w:val="null3"/>
                    <w:jc w:val="both"/>
                  </w:pPr>
                  <w:r>
                    <w:rPr>
                      <w:rFonts w:ascii="仿宋_GB2312" w:hAnsi="仿宋_GB2312" w:cs="仿宋_GB2312" w:eastAsia="仿宋_GB2312"/>
                      <w:sz w:val="21"/>
                    </w:rPr>
                    <w:t>五、卡式连接件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采用优质钢板经冲压拉伸一次成型，成型后外形规格≥200*30*2.0mm；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挂件与立柱有牢固接触面，保证使用稳定。</w:t>
                  </w:r>
                </w:p>
                <w:p>
                  <w:pPr>
                    <w:pStyle w:val="null3"/>
                    <w:jc w:val="both"/>
                  </w:pPr>
                  <w:r>
                    <w:rPr>
                      <w:rFonts w:ascii="仿宋_GB2312" w:hAnsi="仿宋_GB2312" w:cs="仿宋_GB2312" w:eastAsia="仿宋_GB2312"/>
                      <w:sz w:val="21"/>
                    </w:rPr>
                    <w:t>六、衣柜</w:t>
                  </w:r>
                </w:p>
                <w:p>
                  <w:pPr>
                    <w:pStyle w:val="null3"/>
                    <w:jc w:val="both"/>
                  </w:pPr>
                  <w:r>
                    <w:rPr>
                      <w:rFonts w:ascii="仿宋_GB2312" w:hAnsi="仿宋_GB2312" w:cs="仿宋_GB2312" w:eastAsia="仿宋_GB2312"/>
                      <w:sz w:val="21"/>
                    </w:rPr>
                    <w:t>尺寸：655*700*1600mm。</w:t>
                  </w:r>
                </w:p>
                <w:p>
                  <w:pPr>
                    <w:pStyle w:val="null3"/>
                    <w:jc w:val="both"/>
                  </w:pPr>
                  <w:r>
                    <w:rPr>
                      <w:rFonts w:ascii="仿宋_GB2312" w:hAnsi="仿宋_GB2312" w:cs="仿宋_GB2312" w:eastAsia="仿宋_GB2312"/>
                      <w:sz w:val="21"/>
                    </w:rPr>
                    <w:t>颜色：柜体乳白色，门颜色可选；和床架固定连接。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采用≥0.6mm 厚的优质冷轧钢板制作；表面经充分陶化、钝化处理，环氧树酯粉末(环保一级)静电喷涂；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站脚：高度≥50mm，采用ABS工程塑料一次注塑成型；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衣柜内部一根挂衣杆；一块层板，可放置折叠衣物等；衣柜底部有加强设计；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门上安装明挂锁扣件及扣手。</w:t>
                  </w:r>
                </w:p>
                <w:p>
                  <w:pPr>
                    <w:pStyle w:val="null3"/>
                    <w:jc w:val="both"/>
                  </w:pPr>
                  <w:r>
                    <w:rPr>
                      <w:rFonts w:ascii="仿宋_GB2312" w:hAnsi="仿宋_GB2312" w:cs="仿宋_GB2312" w:eastAsia="仿宋_GB2312"/>
                      <w:sz w:val="21"/>
                    </w:rPr>
                    <w:t>七、桌面</w:t>
                  </w:r>
                </w:p>
                <w:p>
                  <w:pPr>
                    <w:pStyle w:val="null3"/>
                    <w:jc w:val="both"/>
                  </w:pPr>
                  <w:r>
                    <w:rPr>
                      <w:rFonts w:ascii="仿宋_GB2312" w:hAnsi="仿宋_GB2312" w:cs="仿宋_GB2312" w:eastAsia="仿宋_GB2312"/>
                      <w:sz w:val="21"/>
                    </w:rPr>
                    <w:t>采用优质≥25mm厚国家环保符合标准 E1级三聚氰胺贴面板(中密度板)；四周采用一次性注塑封边。</w:t>
                  </w:r>
                </w:p>
                <w:p>
                  <w:pPr>
                    <w:pStyle w:val="null3"/>
                    <w:jc w:val="both"/>
                  </w:pPr>
                  <w:r>
                    <w:rPr>
                      <w:rFonts w:ascii="仿宋_GB2312" w:hAnsi="仿宋_GB2312" w:cs="仿宋_GB2312" w:eastAsia="仿宋_GB2312"/>
                      <w:sz w:val="21"/>
                    </w:rPr>
                    <w:t>八、横书柜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规格：≥1040*300*240mm；颜色：乳白色；</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横书柜由≥0.6mm 厚的优质冷轧钢板制作，书柜中间带一块竖板分割为左右两个小书柜，表面经充分陶化、钝化处理,环氧树酯粉末(环保一级)静电喷涂。</w:t>
                  </w:r>
                </w:p>
              </w:tc>
              <w:tc>
                <w:tcPr>
                  <w:tcW w:type="dxa" w:w="132"/>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174</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套</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自合同签订之日起30日历日完成全部项目内容，并交付采购人验收。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有产品合格证、产品说明书、保修证明、易损件备件、专用工具清单和其他应具有的单证；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自最终验合格之日起；质保期3年。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1、按《中华人民共和国合同法》中的相关条款执行。 2、未按合同要求提供产品或产品质量不能满足合同约定的技术要求，采购单位有权终止合同，成交供应商须无条件全额退回甲方已付给乙方的货款，并向采购单位支付合同总价款10%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响应文件正本壹份、副本贰份、电子文件U盘贰份(签章版，U盘标明供应商名称)，响应文件的正本、所有副本和电子文件（装入正本），用单独的封袋分别密封（封袋不得有破损），在封袋上标明“正本”或“副本”字样，封袋封口处应加贴封条密封，并在封线处加盖公章（骑缝章）。若电子响应文件与纸质响应文件不一致的，以电子投标文件为准；若正本和副本不符，以正本为准。线下递交文件时间：同在线递交电子响应文件截止时间一致。线下递交文件地点：陕西省西安市未央区凤城八路水晶新天地1803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已赋码且完整的财务报告（成立时间至提交投标文件截止时间不足一年的可提供成立后任意时段的资产负债表；事业单位提供财务报表，财务报表应当包括：资产负债表、收入支出表或者收入费用表、财政补助收入支出表）或提供投标文件递交截止时间前六个月内的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提供投标文件递交截止时间前六个月内已缴存的至少一个月的社会保障资金缴纳凭证或证明，依法不需要缴纳社会保障资金的单位应提供相关证明材料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联合体承诺函</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投标人类似项目业绩一览表.docx 投标人认为有必要补充说明的事项.docx 资格证明文件.docx 分项报价表.docx 投标函 残疾人福利性单位声明函 拒绝政府采购领域商业贿赂承诺书.docx 技术响应偏离表.docx 标的清单 投标文件封面 实施方案.docx 产品技术参数表.docx 节能环保、环境标志产品明细表.docx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（1）投标文件的签字盖章：投标文件上法定代表人或其委托代理人的签字齐全并加盖单位章；（2）投标文件格式：应符合投标文件要求； （3）报价唯一：能有一个有效报价，不得提交选择性报价，且报价不超过采购预算。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中小企业声明函 商务应答表 投标人类似项目业绩一览表.docx 投标人认为有必要补充说明的事项.docx 资格证明文件.docx 分项报价表.docx 投标函 残疾人福利性单位声明函 拒绝政府采购领域商业贿赂承诺书.docx 技术响应偏离表.docx 标的清单 投标文件封面 实施方案.docx 产品技术参数表.docx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开标一览表 中小企业声明函 商务应答表 投标人类似项目业绩一览表.docx 投标人认为有必要补充说明的事项.docx 资格证明文件.docx 分项报价表.docx 投标函 残疾人福利性单位声明函 拒绝政府采购领域商业贿赂承诺书.docx 技术响应偏离表.docx 标的清单 投标文件封面 实施方案.docx 产品技术参数表.docx 节能环保、环境标志产品明细表.docx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（2）拟提供服务响应程度；应满足采购文件提出的技术和服务要求。不允许负偏离； （3）供货期：应满足采购文件中要求； （4）供货地点：应满足采购文件中要求； （5）投标效期：应满足采购文件中的规定。</w:t>
            </w:r>
          </w:p>
        </w:tc>
        <w:tc>
          <w:tcPr>
            <w:tcW w:type="dxa" w:w="1661"/>
          </w:tcPr>
          <w:p>
            <w:pPr>
              <w:pStyle w:val="null3"/>
            </w:pPr>
            <w:r>
              <w:rPr>
                <w:rFonts w:ascii="仿宋_GB2312" w:hAnsi="仿宋_GB2312" w:cs="仿宋_GB2312" w:eastAsia="仿宋_GB2312"/>
              </w:rPr>
              <w:t>开标一览表 中小企业声明函 商务应答表 投标人类似项目业绩一览表.docx 投标人认为有必要补充说明的事项.docx 资格证明文件.docx 分项报价表.docx 投标函 残疾人福利性单位声明函 拒绝政府采购领域商业贿赂承诺书.docx 技术响应偏离表.docx 标的清单 投标文件封面 实施方案.docx 产品技术参数表.docx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所投产品选型、配置</w:t>
            </w:r>
          </w:p>
        </w:tc>
        <w:tc>
          <w:tcPr>
            <w:tcW w:type="dxa" w:w="2492"/>
          </w:tcPr>
          <w:p>
            <w:pPr>
              <w:pStyle w:val="null3"/>
            </w:pPr>
            <w:r>
              <w:rPr>
                <w:rFonts w:ascii="仿宋_GB2312" w:hAnsi="仿宋_GB2312" w:cs="仿宋_GB2312" w:eastAsia="仿宋_GB2312"/>
              </w:rPr>
              <w:t>所投产品描述详细、完整，设备选型合理、功能齐全，完全满足招标文件中所有技术参数要求的计21分。 关键技术“▲”参数每负偏离一项扣1分，非关键技术参数每负偏离一项扣0.25分，扣完为止。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产品相关要求</w:t>
            </w:r>
          </w:p>
        </w:tc>
        <w:tc>
          <w:tcPr>
            <w:tcW w:type="dxa" w:w="2492"/>
          </w:tcPr>
          <w:p>
            <w:pPr>
              <w:pStyle w:val="null3"/>
            </w:pPr>
            <w:r>
              <w:rPr>
                <w:rFonts w:ascii="仿宋_GB2312" w:hAnsi="仿宋_GB2312" w:cs="仿宋_GB2312" w:eastAsia="仿宋_GB2312"/>
              </w:rPr>
              <w:t>投标产品附有详细的产品技术资料（包括但不限于产品宣传彩页或检测报告或官网功能截图等）。 所投产品规格描述详细、功能齐全，技术资料完整计7分； 所投产品规格描述基本清晰、功能基本齐全，技术资料基本完整计5分； 所投产品规格描述模糊、功能不齐全，技术资料缺失计3分；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针对本项目所投产品的合法来源渠道证明文件，每提供一项，得2.5分，满分5分，不提供不得分。投标人可根据自身情况提供以下资料:1、如投标人为所投产品代理商:提供货物的合法来源渠道证明文件（例如：产品制造商授权、销售协议、代理协议等证明文件）2、如投标人为所投产品的制造商：需提供情况说明（说明某一项产品为制造商自己生产）。备注：以加盖投标人及产品制造商公章的证明材料复印件为计分依据，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一、评审内容投标人需针对本项目提供完整的项目实施方案。内容包含但不限于:①实施计划②供货、安装、调试方案③验收措施④物力调配的相应保障措施。 二、评审标准 1、完整性:方案须全面，对评审内容中的各项要求描述详细； 2、可实施性:切合本项目实际情况，实施步骤清晰、合理； 3、针对性:方案能够紧扣项目实际情况，内容科学合理。 三、赋分依据(满分6分) ①实施计划:每完全满足一个评审标准得0.5分，满分1.5分； ②供货、安装、调试方案:每完全满足一个评审标准得0.5分，满分1.5分； ③验收措施:每完全满足一个评审标准得0.5分，满分1.5分； ④物力调配的相应保障措施:每完全满足一个评审标准得0.5分，满分1.5分。 备注：若上述内容存在瑕疵，每存在1处瑕疵扣0.25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确保进度的技术组织措施</w:t>
            </w:r>
          </w:p>
        </w:tc>
        <w:tc>
          <w:tcPr>
            <w:tcW w:type="dxa" w:w="2492"/>
          </w:tcPr>
          <w:p>
            <w:pPr>
              <w:pStyle w:val="null3"/>
            </w:pPr>
            <w:r>
              <w:rPr>
                <w:rFonts w:ascii="仿宋_GB2312" w:hAnsi="仿宋_GB2312" w:cs="仿宋_GB2312" w:eastAsia="仿宋_GB2312"/>
              </w:rPr>
              <w:t>一、评审内容 投标人针对本项目提供时间进度安排方案，包括①前期准备阶段；②安装调试阶段；③交付、协助验收阶段等方面。 二、评审标准1、完整性：方案须全面，对评审内容中的各项要求有详细描述：2、针对性：方案能够紧扣项目实际情况，内容科学合理。 三、评审内容(满分6分) ①前期准备阶段：每完全满足一个评审标准计1分，满分2分： ②安装调试阶段：每完全满足一个评审标准计1分，满分2分； ③交付、协助验收阶段：每完全满足一个评审标准计1分，满分2分。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拟投入的团队人员</w:t>
            </w:r>
          </w:p>
        </w:tc>
        <w:tc>
          <w:tcPr>
            <w:tcW w:type="dxa" w:w="2492"/>
          </w:tcPr>
          <w:p>
            <w:pPr>
              <w:pStyle w:val="null3"/>
            </w:pPr>
            <w:r>
              <w:rPr>
                <w:rFonts w:ascii="仿宋_GB2312" w:hAnsi="仿宋_GB2312" w:cs="仿宋_GB2312" w:eastAsia="仿宋_GB2312"/>
              </w:rPr>
              <w:t>一、投标人针对本项目提供拟投入的团队人员方案，包括①人员组成；②岗位职责；③团队管理制度；④人员组织安排计划；⑤团队监督机制等方面。 二、评审标准1、完整性：方案须全面，对评审内容中的各项要求有详细描述；2、针对性：方案能够紧扣项目实际情况，内容科学合理。 三、评审内容(满分5分) ①人员组成：每完全满足一个评审标准计0.5分，满分1分； ②岗位职责：每完全满足一个评审标准计0.5分，满分1分； ③团队管理制度：每完全满足一个评审标准计0.5分，满分1分； ④人员组织安排计划：每完全满足一个评审标准计0.5分，满分1分； ⑤团队监督机制等方面：每完全满足一个评审标准计0.5分，满分1分；备注：若上述内容存在瑕疵，每存在1处瑕疵扣0.25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一、评审内容根据项目实际需求，提供质量保证方案。内容包含但不限于:①产品参数及功能证明资料 ②质量管理体系及保证措施。二、评审标准 1、完整性:方案须全面，对评审内容中的各项要求有详细描述； 2、可实施性:切合本项目实际情况，实施步骤清晰、合理； 3、针对性:方案能够紧扣项目实际情况，内容科学合理。 三、赋分依据(满分6分) ①产品参数及功能证明资料:投标人提供的产品参数及功能证明材料齐全且详尽、前后表达一致，每完全满足一个评审标准得1分，满分3分； ②质量管理体系及保证措施:每完全满足一个评审标准得1分，满分3分。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一、评审内容针对培训要求提供培训计划，为采购人培训操作维护人员，以保障使用过程中能熟练操作、维护和正常使用，培训方案内容包含①培训内容及方式②培训计划安排。二、评审标准 1、完整性:方案须全面，对评审内容中的各项要求有详细描述； 2、可实施性:切合本项目实际情况，实施步骤清晰、合理； 3、针对性:方案能够紧扣项目实际情况，内容科学合理。 三、赋分标准(满分6分) ①培训内容及方式:每完全满足一个评审标准得1分，满分3分； ②培训计划安排:每完全满足一个评审标准得1分，满分3分。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售后服务保障体系</w:t>
            </w:r>
          </w:p>
        </w:tc>
        <w:tc>
          <w:tcPr>
            <w:tcW w:type="dxa" w:w="2492"/>
          </w:tcPr>
          <w:p>
            <w:pPr>
              <w:pStyle w:val="null3"/>
            </w:pPr>
            <w:r>
              <w:rPr>
                <w:rFonts w:ascii="仿宋_GB2312" w:hAnsi="仿宋_GB2312" w:cs="仿宋_GB2312" w:eastAsia="仿宋_GB2312"/>
              </w:rPr>
              <w:t>一、评审内容 根据项目实际需求提供售后服务方案。内容包含但不限于①售后服务内容及保障措施②响应时间③响应方式④故障处理及补救措施。 二、评审标准 1、完整性:方案须全面，对评审内容中的各项要求描述详细； 2、可实施性:切合本项目实际情况，实施步清晰、合理； 3、针对性:方案能够紧扣项目实际情况，内容科学合理。 三、赋分依据(满分6分) ①售后服务内容及保障措施:每完全满足一个评审标准得0.5分，满分1.5分 ②响应时间:每完全满足一个评审标准得 0.5分，满分1.5分； ③响应方式:每完全满足一个评审标准得0.5分，满分1.5分； ④故障处理及补救措施:每完全满足一个评审标准得0.5分，满分1.5分。 备注：若上述内容存在瑕疵，每存在1处瑕疵扣0.25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提供2022年11月1日以来类似项目业绩合同（以合同签订时间为准），每份计1分，满分2分。（注：以上证明文件在投标文件中附业绩合同扫描件并加盖公司公章。）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价格分采用低价优先法计算，即满足招标文件要求且投标价格最低的投标报价为评标基准价，其价格分为满分。其他供应商的价格分统一按照下列公式计算：投标报价得分=（评标基准价/有效报价） ×价格权重（30%）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详见附件：投标人类似项目业绩一览表.docx</w:t>
      </w:r>
    </w:p>
    <w:p>
      <w:pPr>
        <w:pStyle w:val="null3"/>
        <w:ind w:firstLine="960"/>
      </w:pPr>
      <w:r>
        <w:rPr>
          <w:rFonts w:ascii="仿宋_GB2312" w:hAnsi="仿宋_GB2312" w:cs="仿宋_GB2312" w:eastAsia="仿宋_GB2312"/>
        </w:rPr>
        <w:t>详见附件：投标人认为有必要补充说明的事项.docx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