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版本号：JZZB-【2025】-0520250218001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鄠邑区粮食烘干装备建设项目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JZZB-【2025】-05</w:t>
      </w:r>
      <w:r>
        <w:br/>
      </w:r>
      <w:r>
        <w:br/>
      </w:r>
      <w:r>
        <w:br/>
      </w:r>
    </w:p>
    <w:p>
      <w:pPr>
        <w:pStyle w:val="null3"/>
        <w:jc w:val="center"/>
        <w:outlineLvl w:val="2"/>
      </w:pPr>
      <w:r>
        <w:rPr>
          <w:rFonts w:ascii="仿宋_GB2312" w:hAnsi="仿宋_GB2312" w:cs="仿宋_GB2312" w:eastAsia="仿宋_GB2312"/>
          <w:sz w:val="28"/>
          <w:b/>
        </w:rPr>
        <w:t>西安市鄠邑区农业机械管理站</w:t>
      </w:r>
    </w:p>
    <w:p>
      <w:pPr>
        <w:pStyle w:val="null3"/>
        <w:jc w:val="center"/>
        <w:outlineLvl w:val="2"/>
      </w:pPr>
      <w:r>
        <w:rPr>
          <w:rFonts w:ascii="仿宋_GB2312" w:hAnsi="仿宋_GB2312" w:cs="仿宋_GB2312" w:eastAsia="仿宋_GB2312"/>
          <w:sz w:val="28"/>
          <w:b/>
        </w:rPr>
        <w:t>陕西金泽盛业项目管理有限公司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2025年02月19日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西安市鄠邑区农业机械管理站</w:t>
      </w:r>
      <w:r>
        <w:rPr>
          <w:rFonts w:ascii="仿宋_GB2312" w:hAnsi="仿宋_GB2312" w:cs="仿宋_GB2312" w:eastAsia="仿宋_GB2312"/>
        </w:rPr>
        <w:t>委托，拟对</w:t>
      </w:r>
      <w:r>
        <w:rPr>
          <w:rFonts w:ascii="仿宋_GB2312" w:hAnsi="仿宋_GB2312" w:cs="仿宋_GB2312" w:eastAsia="仿宋_GB2312"/>
        </w:rPr>
        <w:t>鄠邑区粮食烘干装备建设项目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JZZB-【2025】-05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鄠邑区粮食烘干装备建设项目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引进购置粮食烘干设备3套（根据场地实际情况进行吨位配套），投放到有基础条件、有意愿的村集体经济组织，结合粮食功能区合理布局，提升全区粮食烘干设施建设能力。</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采购包1（鄠邑区粮食烘干装备建设项目）：属于专门面向中小企业采购。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合法注册的法人应提供营业执照（或事业法人证）、组织机构代码证、税务登记证或统一社会信用代码的营业执照等证明文件；其他组织应提供合法证明文件；自然人提供身份证件。</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用记录网站查询：供应商不得被列入“信用中国”（https://www.creditchina.gov.cn）网站重大税收违法失信主体名单，不得被列入“中国政府采购网”（https://www.ccgp.gov.cn）网站政府采购严重违法失信行为记录名单，不得被列入“中国执行信息公开网”（http://zxgk.court.gov.cn）网站失信被执行人名单。</w:t>
      </w:r>
    </w:p>
    <w:p>
      <w:pPr>
        <w:pStyle w:val="null3"/>
      </w:pPr>
      <w:r>
        <w:rPr>
          <w:rFonts w:ascii="仿宋_GB2312" w:hAnsi="仿宋_GB2312" w:cs="仿宋_GB2312" w:eastAsia="仿宋_GB2312"/>
        </w:rPr>
        <w:t>4、非联合体：本项目不接受联合体投标。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西安市鄠邑区农业机械管理站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鄠邑区环城北路35号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西安市鄠邑区农业机械管理站经办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84812878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西安市经济技术开发区凤城五路123号秦创原软科中心A座20层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崔芮菁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17719590216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代理服务费收费标准：中标供应商支付招标代理服务费，在领取《中标通知书》前，由中标供应商一次性支付给代理机构。 招标代理服务费参照国家计委关于印发《招标代理服务收费管理暂行办法》的通知（计价格〔2002〕1980号）和《国家发展改革委关于降低部分建设项目收费标准规范收费行为等有关问题的通知》（发改价格〔2011〕534号）文件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西安市鄠邑区农业机械管理站</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西安市鄠邑区农业机械管理站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西安市鄠邑区农业机械管理站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符合国家及相关行业的验收标准进行验收。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联系人：崔芮菁</w:t>
      </w:r>
    </w:p>
    <w:p>
      <w:pPr>
        <w:pStyle w:val="null3"/>
      </w:pPr>
      <w:r>
        <w:rPr>
          <w:rFonts w:ascii="仿宋_GB2312" w:hAnsi="仿宋_GB2312" w:cs="仿宋_GB2312" w:eastAsia="仿宋_GB2312"/>
        </w:rPr>
        <w:t>联系电话：17719590216</w:t>
      </w:r>
    </w:p>
    <w:p>
      <w:pPr>
        <w:pStyle w:val="null3"/>
      </w:pPr>
      <w:r>
        <w:rPr>
          <w:rFonts w:ascii="仿宋_GB2312" w:hAnsi="仿宋_GB2312" w:cs="仿宋_GB2312" w:eastAsia="仿宋_GB2312"/>
        </w:rPr>
        <w:t>地址：西安市经济技术开发区凤城五路123号秦创原软科中心A座20层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引进购置粮食烘干设备3套（根据场地实际情况进行吨位配套），投放到有基础条件、有意愿的村集体经济组织，结合粮食功能区合理布局，提升全区粮食烘干设施建设能力。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粮食烘干装备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标的名称：粮食烘干装备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1</w:t>
            </w:r>
          </w:p>
        </w:tc>
        <w:tc>
          <w:tcPr>
            <w:tcW w:type="dxa" w:w="2076"/>
          </w:tcPr>
          <w:p/>
        </w:tc>
        <w:tc>
          <w:tcPr>
            <w:tcW w:type="dxa" w:w="2076"/>
          </w:tcPr>
          <w:tbl>
            <w:tblPr>
              <w:tblBorders>
                <w:top w:val="single"/>
                <w:left w:val="single"/>
                <w:bottom w:val="single"/>
                <w:right w:val="single"/>
                <w:insideH w:val="single"/>
                <w:insideV w:val="single"/>
              </w:tblBorders>
            </w:tblPr>
            <w:tblGrid>
              <w:gridCol w:w="195"/>
              <w:gridCol w:w="236"/>
              <w:gridCol w:w="1419"/>
              <w:gridCol w:w="236"/>
              <w:gridCol w:w="236"/>
            </w:tblGrid>
            <w:tr>
              <w:tc>
                <w:tcPr>
                  <w:tcW w:type="dxa" w:w="1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标的名称</w:t>
                  </w:r>
                </w:p>
              </w:tc>
              <w:tc>
                <w:tcPr>
                  <w:tcW w:type="dxa" w:w="2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烘干吨位</w:t>
                  </w: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功能参数</w:t>
                  </w:r>
                </w:p>
              </w:tc>
              <w:tc>
                <w:tcPr>
                  <w:tcW w:type="dxa" w:w="2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数量</w:t>
                  </w:r>
                </w:p>
              </w:tc>
              <w:tc>
                <w:tcPr>
                  <w:tcW w:type="dxa" w:w="2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单位</w:t>
                  </w:r>
                </w:p>
              </w:tc>
            </w:tr>
            <w:tr>
              <w:tc>
                <w:tcPr>
                  <w:tcW w:type="dxa" w:w="19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粮食烘干装备</w:t>
                  </w:r>
                </w:p>
              </w:tc>
              <w:tc>
                <w:tcPr>
                  <w:tcW w:type="dxa" w:w="23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日处理量：100吨批处理量≥50t</w:t>
                  </w: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1.日处理量：100吨（批处理量≥50t）。</w:t>
                  </w:r>
                </w:p>
              </w:tc>
              <w:tc>
                <w:tcPr>
                  <w:tcW w:type="dxa" w:w="23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23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台</w:t>
                  </w: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2.烘干机机体外形尺寸（长宽高mm）：≤6000*5000*9500</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3.爆腰率增值：批式≤2%。</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4.破碎率增值：≤0.3%。</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5.缓苏段高度（mm）：≤1500。</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7.干燥段高度（mm）：≥7000。</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8.燃料种类：生物质颗粒。</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日处理量50吨，批处理量≥30t</w:t>
                  </w: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1.日处理量50吨（批处理量≥30t）。</w:t>
                  </w:r>
                </w:p>
              </w:tc>
              <w:tc>
                <w:tcPr>
                  <w:tcW w:type="dxa" w:w="23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23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台</w:t>
                  </w: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2.烘干机机体外形尺寸（长宽高mm）：≤6200*5200*7400</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3.爆腰率增值：批式≤2%。</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4.破碎率增值：≤0.3%。</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5.缓苏段高度（mm）：≤5000。</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6.干燥段高度（mm）：≥4000。</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7.燃料种类：生物质颗粒。</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日处理量30吨，批处理量≥15t</w:t>
                  </w: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1.日处理量30吨（批处理量≥15t）。</w:t>
                  </w:r>
                </w:p>
              </w:tc>
              <w:tc>
                <w:tcPr>
                  <w:tcW w:type="dxa" w:w="23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23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台</w:t>
                  </w: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2.烘干机机体外形尺寸（长宽高mm）：≤3900*3000*5000</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3.爆腰率增值：批式≤2%。</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4.破碎率增值：≤0.3%。</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5.缓苏段高度（mm）：≤1000。</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6.干燥段高度（mm）：≥3500。</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r>
              <w:tc>
                <w:tcPr>
                  <w:tcW w:type="dxa" w:w="195"/>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c>
                <w:tcPr>
                  <w:tcW w:type="dxa" w:w="14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7.燃料种类：生物质颗粒。</w:t>
                  </w:r>
                </w:p>
              </w:tc>
              <w:tc>
                <w:tcPr>
                  <w:tcW w:type="dxa" w:w="236"/>
                  <w:vMerge/>
                  <w:tcBorders>
                    <w:top w:val="single" w:color="000000" w:sz="4"/>
                    <w:left w:val="single" w:color="000000" w:sz="4"/>
                    <w:bottom w:val="single" w:color="000000" w:sz="4"/>
                    <w:right w:val="single" w:color="000000" w:sz="4"/>
                  </w:tcBorders>
                </w:tcPr>
                <w:p/>
              </w:tc>
              <w:tc>
                <w:tcPr>
                  <w:tcW w:type="dxa" w:w="236"/>
                  <w:vMerge/>
                  <w:tcBorders>
                    <w:top w:val="single" w:color="000000" w:sz="4"/>
                    <w:left w:val="single" w:color="000000" w:sz="4"/>
                    <w:bottom w:val="single" w:color="000000" w:sz="4"/>
                    <w:right w:val="single" w:color="000000" w:sz="4"/>
                  </w:tcBorders>
                </w:tcPr>
                <w:p/>
              </w:tc>
            </w:tr>
          </w:tbl>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2</w:t>
            </w:r>
          </w:p>
        </w:tc>
        <w:tc>
          <w:tcPr>
            <w:tcW w:type="dxa" w:w="2076"/>
          </w:tcPr>
          <w:p/>
        </w:tc>
        <w:tc>
          <w:tcPr>
            <w:tcW w:type="dxa" w:w="2076"/>
          </w:tcPr>
          <w:p>
            <w:pPr>
              <w:pStyle w:val="null3"/>
            </w:pPr>
            <w:r>
              <w:rPr>
                <w:rFonts w:ascii="仿宋_GB2312" w:hAnsi="仿宋_GB2312" w:cs="仿宋_GB2312" w:eastAsia="仿宋_GB2312"/>
                <w:sz w:val="28"/>
              </w:rPr>
              <w:t>供应商需提供农机鉴定部门出具的农机推广鉴定检验报告扫描件，并在对应的参数位置标注下划线。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设备供货、安装调试、质量检查等最终验收合格后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 (1) 验收标准：符合国家及相关行业的验收标准进行验收。 (2) 验收程序： a.出厂检验:中标供应商在货物出厂前,应按产品技术标准规定的检验项目和试验方法进行全面检验,卖方应随同货物提供出厂检验报告、产品质量合格证。 b.货物运达采购单位安装现场后，由采购单位进行质量和数量的验收（但不作为最终合格的保证），应达到合同规定的要求。 c.本次采购货物的安装调试，检验结果应符合制造厂产品标准、国家有关标准和采购文件规定的技术要求。 d.本次采购的设备安装调试结束后，由成交供应商会同采购单位按双方规定的标准及合同要求进行联合验收。 供应商按规定的标准要求进行联合最终验收，验收合格后办理相关手续。 2、文本资料 (1) 产品验收标准； (2) 技术说明书； (3) 使用说明书； (4) 设备安装、调试、维修线路原理图； (5) 零部件目录； (6) 备品备件、易损件清单； (7) 安装、维修及操作手册； (8) 合同中要求的其他文件资料。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1、免费质量保证期为12个月或以上（国家或厂家对设备或配件另有约定更长免费保修期限的从其约定），软件提供终生免费升级； 2、在免费质量保修期内由于施工质量原因造成的任何损伤和损坏，供应商须免费负责修理或更换； 3、在免费质量保修期内由于产品本身质量原因造成的任何损伤和损坏，供应商须免费负责修理或更换。 5、供应商须备有足够的维护技术人员和零备件，当在工作时间内接到报修的通知时，保证能在24小时内到现场维护，48小时日内无法修复的，应提供代用方案供采购人使用。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项目合同约定，成交供应商未全面履行合同义务或者发生违约，采购人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中标供应商在中标结果公告发布后线下递交纸质版投标文件，正本壹份、副本贰份。若线上电子投标文件与纸质版投标文件不一致的，以电子投标文件为准；若正本和副本不符，以正本为准。 线下递交文件地点：西安市经济技术开发区凤城五路123号秦创原软科中心A座20层 陕西金泽盛业项目管理有限公司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法定代表人证明书与法定代表人授权书 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合法注册的法人应提供营业执照（或事业法人证）、组织机构代码证、税务登记证或统一社会信用代码的营业执照等证明文件；其他组织应提供合法证明文件；自然人提供身份证件。</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法定代表人证明书与法定代表人授权书 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信用记录网站查询</w:t>
            </w:r>
          </w:p>
        </w:tc>
        <w:tc>
          <w:tcPr>
            <w:tcW w:type="dxa" w:w="3322"/>
          </w:tcPr>
          <w:p>
            <w:pPr>
              <w:pStyle w:val="null3"/>
            </w:pPr>
            <w:r>
              <w:rPr>
                <w:rFonts w:ascii="仿宋_GB2312" w:hAnsi="仿宋_GB2312" w:cs="仿宋_GB2312" w:eastAsia="仿宋_GB2312"/>
              </w:rPr>
              <w:t>供应商不得被列入“信用中国”（https://www.creditchina.gov.cn）网站重大税收违法失信主体名单，不得被列入“中国政府采购网”（https://www.ccgp.gov.cn）网站政府采购严重违法失信行为记录名单，不得被列入“中国执行信息公开网”（http://zxgk.court.gov.cn）网站失信被执行人名单。</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法定代表人证明书与法定代表人授权书 中小企业声明函 商务应答表 技术方案 投标人应提交的相关资格证明材料 产品技术参数表 投标函 残疾人福利性单位声明函 标的清单 投标文件封面 监狱企业的证明文件 陕西省政府采购供货商拒绝政府采购领域商业贿赂承诺书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法定代表人证明书与法定代表人授权书 中小企业声明函 商务应答表 技术方案 投标人应提交的相关资格证明材料 产品技术参数表 投标函 残疾人福利性单位声明函 标的清单 投标文件封面 监狱企业的证明文件 陕西省政府采购供货商拒绝政府采购领域商业贿赂承诺书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投标报价唯一，未超过招标文件中规定的采购预算或最高限价</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详细评审70.0000分</w:t>
            </w:r>
          </w:p>
          <w:p>
            <w:pPr>
              <w:pStyle w:val="null3"/>
            </w:pPr>
            <w:r>
              <w:rPr>
                <w:rFonts w:ascii="仿宋_GB2312" w:hAnsi="仿宋_GB2312" w:cs="仿宋_GB2312" w:eastAsia="仿宋_GB2312"/>
              </w:rPr>
              <w:t>报价得分30.0000分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产品技术性能指标</w:t>
            </w:r>
          </w:p>
        </w:tc>
        <w:tc>
          <w:tcPr>
            <w:tcW w:type="dxa" w:w="2492"/>
          </w:tcPr>
          <w:p>
            <w:pPr>
              <w:pStyle w:val="null3"/>
            </w:pPr>
            <w:r>
              <w:rPr>
                <w:rFonts w:ascii="仿宋_GB2312" w:hAnsi="仿宋_GB2312" w:cs="仿宋_GB2312" w:eastAsia="仿宋_GB2312"/>
              </w:rPr>
              <w:t>供应商需提供所供产品详细资料，必须包含关键部件或配件的型号、基本构造、技术特点、性能指标等有关图片及技术资料。评标委员会依据供应商提供资料情况进行综合评审。 提供资料非常详细，内容非常完整，得(10-15]分； 提供资料较为详细，内容完整，得(6-10]分； 提供资料一般，内容不够完整，或未提供资料，得[0-6]分。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质量证明</w:t>
            </w:r>
          </w:p>
        </w:tc>
        <w:tc>
          <w:tcPr>
            <w:tcW w:type="dxa" w:w="2492"/>
          </w:tcPr>
          <w:p>
            <w:pPr>
              <w:pStyle w:val="null3"/>
            </w:pPr>
            <w:r>
              <w:rPr>
                <w:rFonts w:ascii="仿宋_GB2312" w:hAnsi="仿宋_GB2312" w:cs="仿宋_GB2312" w:eastAsia="仿宋_GB2312"/>
              </w:rPr>
              <w:t>供应商所提供的产品质量应符合国家标准，投标时应提交投标拟提供的产品整机或主要部件的相关检测报告（或质量符合国家标准的相关证明资料）；提供的产品具有高运行效率和良好的驱动性能，提供相关资料。评标委员会依据供应商提供资料情况进行综合评审。 提供资料非常详细，内容非常完整，得(10-15]分； 提供资料较为详细，内容完整，得(6-10]分； 提供资料一般，内容不够完整，或未提供资料，得[0-6]分。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应急方案及措施</w:t>
            </w:r>
          </w:p>
        </w:tc>
        <w:tc>
          <w:tcPr>
            <w:tcW w:type="dxa" w:w="2492"/>
          </w:tcPr>
          <w:p>
            <w:pPr>
              <w:pStyle w:val="null3"/>
            </w:pPr>
            <w:r>
              <w:rPr>
                <w:rFonts w:ascii="仿宋_GB2312" w:hAnsi="仿宋_GB2312" w:cs="仿宋_GB2312" w:eastAsia="仿宋_GB2312"/>
              </w:rPr>
              <w:t>各供应商针对本项目可能出现的风险进行分析，并提供相应应急方案及措施，根据其合理性、可行性、有效性等进行打分，按投标情况计分。 方案及措施非常合理，可行性强，得(7-10]分； 方案及措施合理，可行性强，得(4-7]分； 方案及措施一般，可行性一般，或未提供方案或措施，得[0-4]分。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对比供应商对本项目提供的质量保障措施，对本项保障措施的合理性、全面性、可行性、针对性进行打分： 措施非常合理，可行性强，得(5-7]分； 措施合理，可行性强，得(3-5]分； 措施一般，可行性一般，或未提供措施，得[0-3]分。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对比供应商对本项目提供的安全保障措施，对本项保障措施的合理性、全面性、可行性、针对性进行打分： 措施非常合理，可行性强，得(5-7]分； 措施合理，可行性强，得(3-5]分； 措施一般，可行性一般，或未提供措施，得[0-3]分。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售后服务体系</w:t>
            </w:r>
          </w:p>
        </w:tc>
        <w:tc>
          <w:tcPr>
            <w:tcW w:type="dxa" w:w="2492"/>
          </w:tcPr>
          <w:p>
            <w:pPr>
              <w:pStyle w:val="null3"/>
            </w:pPr>
            <w:r>
              <w:rPr>
                <w:rFonts w:ascii="仿宋_GB2312" w:hAnsi="仿宋_GB2312" w:cs="仿宋_GB2312" w:eastAsia="仿宋_GB2312"/>
              </w:rPr>
              <w:t>依据供应商提供服务情况进行综合评审。 售后服务体系健全，有详细的售后服务承诺及保障措施，得(5-10]分； 售后服务体系一般，售后服务承诺及保障措施不健全，或未提供售后服务承诺及保障措施，得[0-5]。</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售后服务机构</w:t>
            </w:r>
          </w:p>
        </w:tc>
        <w:tc>
          <w:tcPr>
            <w:tcW w:type="dxa" w:w="2492"/>
          </w:tcPr>
          <w:p>
            <w:pPr>
              <w:pStyle w:val="null3"/>
            </w:pPr>
            <w:r>
              <w:rPr>
                <w:rFonts w:ascii="仿宋_GB2312" w:hAnsi="仿宋_GB2312" w:cs="仿宋_GB2312" w:eastAsia="仿宋_GB2312"/>
              </w:rPr>
              <w:t>依据供应商提供的建立售后服务机构信息综合评审，包括响应时提供的针对本项目的服务团队的人员数量、组成结构等。 售后服务机构健全，服务人员配备合理，得(3-6]分； 售后服务机构一般，服务人员配备一般，或未配备售后服务机构，得[0-3]。</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有效投标报价的最低报价作为基准价，各投标人的报价得分按下列公式计算：投标报价得分=（基准价/投标报价）×30%×100分。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详见附件：法定代表人证明书与法定代表人授权书</w:t>
      </w:r>
    </w:p>
    <w:p>
      <w:pPr>
        <w:pStyle w:val="null3"/>
        <w:ind w:firstLine="960"/>
      </w:pPr>
      <w:r>
        <w:rPr>
          <w:rFonts w:ascii="仿宋_GB2312" w:hAnsi="仿宋_GB2312" w:cs="仿宋_GB2312" w:eastAsia="仿宋_GB2312"/>
        </w:rPr>
        <w:t>详见附件：陕西省政府采购供货商拒绝政府采购领域商业贿赂承诺书</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