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E86557">
      <w:pPr>
        <w:pStyle w:val="10"/>
        <w:jc w:val="center"/>
        <w:outlineLvl w:val="0"/>
        <w:rPr>
          <w:rFonts w:hint="eastAsia" w:ascii="宋体" w:hAnsi="宋体" w:eastAsia="宋体" w:cs="宋体"/>
          <w:color w:val="000000"/>
          <w:sz w:val="44"/>
          <w:szCs w:val="44"/>
          <w:highlight w:val="none"/>
        </w:rPr>
      </w:pPr>
      <w:r>
        <w:rPr>
          <w:rFonts w:hint="eastAsia" w:ascii="宋体" w:hAnsi="宋体" w:eastAsia="宋体" w:cs="宋体"/>
          <w:color w:val="000000"/>
          <w:sz w:val="44"/>
          <w:szCs w:val="44"/>
          <w:highlight w:val="none"/>
        </w:rPr>
        <w:t>政府采购合同格式</w:t>
      </w:r>
    </w:p>
    <w:p w14:paraId="4BF776BB">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 xml:space="preserve">合同编号： </w:t>
      </w:r>
    </w:p>
    <w:p w14:paraId="29FCF1FA">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 xml:space="preserve">签订地点： </w:t>
      </w:r>
    </w:p>
    <w:p w14:paraId="3BB81E06">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签订时间:</w:t>
      </w:r>
    </w:p>
    <w:p w14:paraId="0C659DB8">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采购人（甲方）：</w:t>
      </w:r>
    </w:p>
    <w:p w14:paraId="0257752F">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lang w:val="en-US" w:eastAsia="zh-CN"/>
        </w:rPr>
        <w:t>供应商</w:t>
      </w:r>
      <w:r>
        <w:rPr>
          <w:rFonts w:hint="eastAsia"/>
          <w:color w:val="000000"/>
          <w:sz w:val="21"/>
          <w:szCs w:val="21"/>
          <w:highlight w:val="none"/>
        </w:rPr>
        <w:t>（乙方）：</w:t>
      </w:r>
    </w:p>
    <w:p w14:paraId="5410345A">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根据《中华人民共和国政府采购法》及实施条例、《中华人民共和国</w:t>
      </w:r>
      <w:r>
        <w:rPr>
          <w:rFonts w:hint="eastAsia"/>
          <w:color w:val="000000"/>
          <w:sz w:val="21"/>
          <w:szCs w:val="21"/>
          <w:highlight w:val="none"/>
          <w:lang w:eastAsia="zh-CN"/>
        </w:rPr>
        <w:t>民法典</w:t>
      </w:r>
      <w:r>
        <w:rPr>
          <w:rFonts w:hint="eastAsia"/>
          <w:color w:val="000000"/>
          <w:sz w:val="21"/>
          <w:szCs w:val="21"/>
          <w:highlight w:val="none"/>
        </w:rPr>
        <w:t>》和甲方</w:t>
      </w:r>
      <w:r>
        <w:rPr>
          <w:rFonts w:hint="eastAsia"/>
          <w:color w:val="000000"/>
          <w:sz w:val="21"/>
          <w:szCs w:val="21"/>
          <w:highlight w:val="none"/>
          <w:u w:val="single"/>
        </w:rPr>
        <w:t xml:space="preserve">                </w:t>
      </w:r>
      <w:r>
        <w:rPr>
          <w:rFonts w:hint="eastAsia"/>
          <w:color w:val="000000"/>
          <w:sz w:val="21"/>
          <w:szCs w:val="21"/>
          <w:highlight w:val="none"/>
        </w:rPr>
        <w:t>采购项目（采购项目编号：</w:t>
      </w:r>
      <w:r>
        <w:rPr>
          <w:rFonts w:hint="eastAsia"/>
          <w:color w:val="000000"/>
          <w:sz w:val="21"/>
          <w:szCs w:val="21"/>
          <w:highlight w:val="none"/>
          <w:u w:val="single"/>
        </w:rPr>
        <w:t xml:space="preserve">    </w:t>
      </w:r>
      <w:r>
        <w:rPr>
          <w:rFonts w:hint="eastAsia"/>
          <w:color w:val="000000"/>
          <w:sz w:val="21"/>
          <w:szCs w:val="21"/>
          <w:highlight w:val="none"/>
          <w:u w:val="single"/>
          <w:lang w:val="en-US" w:eastAsia="zh-CN"/>
        </w:rPr>
        <w:t xml:space="preserve"> </w:t>
      </w:r>
      <w:r>
        <w:rPr>
          <w:rFonts w:hint="eastAsia"/>
          <w:color w:val="000000"/>
          <w:sz w:val="21"/>
          <w:szCs w:val="21"/>
          <w:highlight w:val="none"/>
          <w:u w:val="single"/>
        </w:rPr>
        <w:t xml:space="preserve">      </w:t>
      </w:r>
      <w:r>
        <w:rPr>
          <w:rFonts w:hint="eastAsia"/>
          <w:color w:val="000000"/>
          <w:sz w:val="21"/>
          <w:szCs w:val="21"/>
          <w:highlight w:val="none"/>
        </w:rPr>
        <w:t>）的</w:t>
      </w:r>
      <w:r>
        <w:rPr>
          <w:rFonts w:hint="eastAsia"/>
          <w:color w:val="000000"/>
          <w:sz w:val="21"/>
          <w:szCs w:val="21"/>
          <w:highlight w:val="none"/>
          <w:lang w:val="en-US" w:eastAsia="zh-CN"/>
        </w:rPr>
        <w:t>竞争性磋商</w:t>
      </w:r>
      <w:r>
        <w:rPr>
          <w:rFonts w:hint="eastAsia"/>
          <w:color w:val="000000"/>
          <w:sz w:val="21"/>
          <w:szCs w:val="21"/>
          <w:highlight w:val="none"/>
        </w:rPr>
        <w:t>文件、</w:t>
      </w:r>
      <w:r>
        <w:rPr>
          <w:rFonts w:hint="eastAsia"/>
          <w:color w:val="000000"/>
          <w:sz w:val="21"/>
          <w:szCs w:val="21"/>
          <w:highlight w:val="none"/>
          <w:lang w:val="en-US" w:eastAsia="zh-CN"/>
        </w:rPr>
        <w:t>响应</w:t>
      </w:r>
      <w:r>
        <w:rPr>
          <w:rFonts w:hint="eastAsia"/>
          <w:color w:val="000000"/>
          <w:sz w:val="21"/>
          <w:szCs w:val="21"/>
          <w:highlight w:val="none"/>
        </w:rPr>
        <w:t>文件等有关规定，为确保甲方采购项目的顺利实施，甲、乙双方在平等自愿原则下签订本合同，并共同遵守如下条款：</w:t>
      </w:r>
    </w:p>
    <w:p w14:paraId="3BE6170B">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第一条  项目基本情况</w:t>
      </w:r>
    </w:p>
    <w:p w14:paraId="64DC8E82">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鄠邑区2025年残疾人居家安养服务项目：以社区（村）和社会服务机构为单位，建立社会化服务体系，采取定期上门、计时服务等形式，为分散居住在家、不适宜或不愿意到机构中的残疾人提供生活照料、康复养护、心理疏导等居家生活服务。</w:t>
      </w:r>
    </w:p>
    <w:p w14:paraId="7B097896">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eastAsia="宋体"/>
          <w:b/>
          <w:bCs/>
          <w:color w:val="000000"/>
          <w:sz w:val="21"/>
          <w:szCs w:val="21"/>
          <w:highlight w:val="none"/>
          <w:lang w:eastAsia="zh-CN"/>
        </w:rPr>
      </w:pPr>
      <w:r>
        <w:rPr>
          <w:rFonts w:hint="eastAsia"/>
          <w:b/>
          <w:bCs/>
          <w:color w:val="000000"/>
          <w:sz w:val="21"/>
          <w:szCs w:val="21"/>
          <w:highlight w:val="none"/>
        </w:rPr>
        <w:t xml:space="preserve">第二条  </w:t>
      </w:r>
      <w:r>
        <w:rPr>
          <w:rFonts w:hint="eastAsia"/>
          <w:b/>
          <w:bCs/>
          <w:color w:val="000000"/>
          <w:sz w:val="21"/>
          <w:szCs w:val="21"/>
          <w:highlight w:val="none"/>
          <w:lang w:eastAsia="zh-CN"/>
        </w:rPr>
        <w:t>服务期限</w:t>
      </w:r>
      <w:r>
        <w:rPr>
          <w:rFonts w:hint="eastAsia"/>
          <w:b/>
          <w:bCs/>
          <w:color w:val="000000"/>
          <w:sz w:val="21"/>
          <w:szCs w:val="21"/>
          <w:highlight w:val="none"/>
        </w:rPr>
        <w:t>：</w:t>
      </w:r>
      <w:r>
        <w:rPr>
          <w:rFonts w:hint="eastAsia" w:ascii="宋体" w:hAnsi="宋体" w:eastAsia="宋体"/>
          <w:b/>
          <w:bCs/>
          <w:color w:val="000000"/>
          <w:sz w:val="21"/>
          <w:szCs w:val="21"/>
          <w:highlight w:val="none"/>
        </w:rPr>
        <w:t>自合同签订之日起一年</w:t>
      </w:r>
    </w:p>
    <w:p w14:paraId="4B550AE7">
      <w:pPr>
        <w:pStyle w:val="9"/>
        <w:keepNext w:val="0"/>
        <w:keepLines w:val="0"/>
        <w:pageBreakBefore w:val="0"/>
        <w:numPr>
          <w:ilvl w:val="0"/>
          <w:numId w:val="1"/>
        </w:numPr>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bookmarkStart w:id="0" w:name="_Toc185395249"/>
      <w:bookmarkStart w:id="1" w:name="_Toc282696226"/>
      <w:bookmarkStart w:id="2" w:name="_Toc251768862"/>
      <w:bookmarkStart w:id="3" w:name="_Toc237145406"/>
      <w:bookmarkStart w:id="4" w:name="_Toc211911348"/>
      <w:bookmarkStart w:id="5" w:name="_Toc225244852"/>
      <w:bookmarkStart w:id="6" w:name="_Toc225670751"/>
      <w:bookmarkStart w:id="7" w:name="_Toc212019594"/>
      <w:bookmarkStart w:id="8" w:name="_Toc225654644"/>
      <w:bookmarkStart w:id="9" w:name="_Toc239233914"/>
      <w:bookmarkStart w:id="10" w:name="_Toc247334841"/>
      <w:bookmarkStart w:id="11" w:name="_Toc238984975"/>
      <w:bookmarkStart w:id="12" w:name="_Toc286993786"/>
      <w:bookmarkStart w:id="13" w:name="_Toc232492928"/>
      <w:bookmarkStart w:id="14" w:name="_Toc211854449"/>
      <w:bookmarkStart w:id="15" w:name="_Toc283019214"/>
      <w:bookmarkStart w:id="16" w:name="_Toc241833903"/>
      <w:bookmarkStart w:id="17" w:name="_Toc239568418"/>
      <w:r>
        <w:rPr>
          <w:rFonts w:hint="eastAsia"/>
          <w:b/>
          <w:bCs/>
          <w:color w:val="000000"/>
          <w:sz w:val="21"/>
          <w:szCs w:val="21"/>
          <w:highlight w:val="none"/>
        </w:rPr>
        <w:t xml:space="preserve"> 服务内容与质量</w:t>
      </w:r>
      <w:r>
        <w:rPr>
          <w:rFonts w:hint="eastAsia"/>
          <w:b/>
          <w:bCs/>
          <w:color w:val="000000"/>
          <w:sz w:val="21"/>
          <w:szCs w:val="21"/>
          <w:highlight w:val="none"/>
          <w:lang w:val="en-US" w:eastAsia="zh-CN"/>
        </w:rPr>
        <w:t>要求</w:t>
      </w:r>
    </w:p>
    <w:p w14:paraId="13E09E4A">
      <w:pPr>
        <w:pStyle w:val="15"/>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1、服务人数及服务频率要求：</w:t>
      </w:r>
    </w:p>
    <w:p w14:paraId="451B95EF">
      <w:pPr>
        <w:pStyle w:val="15"/>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本年度服务人数130人；要求每人每月服务不少于8个小时，每人次购买标准不高于2500元。</w:t>
      </w:r>
    </w:p>
    <w:p w14:paraId="15BBC5EC">
      <w:pPr>
        <w:pStyle w:val="15"/>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2、服务对象：</w:t>
      </w:r>
    </w:p>
    <w:p w14:paraId="00F45D5C">
      <w:pPr>
        <w:pStyle w:val="15"/>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具有西安市鄠邑区户籍、年龄16-59(＜60)周岁持中华人民共和国残疾人证，有托养服务需求的智力残疾人、稳定期的精神残疾人、重度肢体残疾人以及同时存在智力或精神残疾的多重残疾人。纳入特困人员救助供养条件的残疾人不作为托养服务对象。</w:t>
      </w:r>
    </w:p>
    <w:p w14:paraId="14A6BBCC">
      <w:pPr>
        <w:pStyle w:val="15"/>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3、服务内容：</w:t>
      </w:r>
    </w:p>
    <w:p w14:paraId="1077C507">
      <w:pPr>
        <w:pStyle w:val="15"/>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3.1（生活照料和护理）按照服务对象或监护人的要求，提供以下服务：</w:t>
      </w:r>
    </w:p>
    <w:p w14:paraId="77ECF848">
      <w:pPr>
        <w:pStyle w:val="15"/>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（1）协助服务对象整理家庭环境卫生；</w:t>
      </w:r>
    </w:p>
    <w:p w14:paraId="2200DDA3">
      <w:pPr>
        <w:pStyle w:val="15"/>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（2）协助服务对象整理个人卫生；</w:t>
      </w:r>
    </w:p>
    <w:p w14:paraId="4E3F7B1D">
      <w:pPr>
        <w:pStyle w:val="15"/>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（3）上门送餐或在服务对象家中协助准备膳食，有需要的可根据情况提供帮助进食服务；</w:t>
      </w:r>
    </w:p>
    <w:p w14:paraId="2C1179B9">
      <w:pPr>
        <w:pStyle w:val="15"/>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（4）协助办理家庭日常事务；</w:t>
      </w:r>
      <w:bookmarkStart w:id="52" w:name="_GoBack"/>
      <w:bookmarkEnd w:id="52"/>
    </w:p>
    <w:p w14:paraId="15F5D49F">
      <w:pPr>
        <w:pStyle w:val="15"/>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（5）根据医嘱同意，可陪同在服务对象居住附近安全合理的地区进行户外活动；</w:t>
      </w:r>
    </w:p>
    <w:p w14:paraId="0C6DF4BF">
      <w:pPr>
        <w:pStyle w:val="15"/>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（6）其他合法、安全并经所在服务机构批准同意提供的服务。</w:t>
      </w:r>
    </w:p>
    <w:p w14:paraId="4D1601A5">
      <w:pPr>
        <w:pStyle w:val="15"/>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3.2（社会适应能力辅导和运动功能训练）按照服务对象或监护人的要求，提供以下服务：</w:t>
      </w:r>
    </w:p>
    <w:p w14:paraId="226E9860">
      <w:pPr>
        <w:pStyle w:val="15"/>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（1）指导并协助有需要的服务对象或其监护人正确使用配发的康复、保健仪器和辅助器械；</w:t>
      </w:r>
    </w:p>
    <w:p w14:paraId="61089CAE">
      <w:pPr>
        <w:pStyle w:val="15"/>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（2）协助有需要的服务对象通过网络、电视、广播、报刊等多种方式了解新闻和文化知识；</w:t>
      </w:r>
    </w:p>
    <w:p w14:paraId="746F516F">
      <w:pPr>
        <w:pStyle w:val="15"/>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（3）经常与服务对象进行交流，了解其心理特点，有需要进行心理干预的及时向其本人或监护人提出建议；</w:t>
      </w:r>
    </w:p>
    <w:p w14:paraId="6B9EF273">
      <w:pPr>
        <w:pStyle w:val="15"/>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（4）其他合法、安全、力所能及并经所在服务机构批准同意提供的服务。</w:t>
      </w:r>
    </w:p>
    <w:p w14:paraId="04968BFF">
      <w:pPr>
        <w:pStyle w:val="15"/>
        <w:keepNext w:val="0"/>
        <w:keepLines w:val="0"/>
        <w:pageBreakBefore w:val="0"/>
        <w:kinsoku/>
        <w:wordWrap/>
        <w:overflowPunct/>
        <w:topLinePunct w:val="0"/>
        <w:autoSpaceDE/>
        <w:autoSpaceDN/>
        <w:bidi w:val="0"/>
        <w:adjustRightInd/>
        <w:spacing w:line="440" w:lineRule="exact"/>
        <w:ind w:firstLine="420" w:firstLineChars="200"/>
        <w:jc w:val="both"/>
        <w:textAlignment w:val="auto"/>
        <w:rPr>
          <w:rFonts w:hint="eastAsia"/>
          <w:b w:val="0"/>
          <w:bCs w:val="0"/>
          <w:sz w:val="21"/>
          <w:szCs w:val="21"/>
        </w:rPr>
      </w:pPr>
      <w:r>
        <w:rPr>
          <w:rFonts w:hint="eastAsia"/>
          <w:b w:val="0"/>
          <w:bCs w:val="0"/>
          <w:sz w:val="21"/>
          <w:szCs w:val="21"/>
        </w:rPr>
        <w:t>质量要求：达到国家相关规范、标准及采购人考核要求。</w:t>
      </w:r>
    </w:p>
    <w:p w14:paraId="57448FBD">
      <w:pPr>
        <w:pStyle w:val="9"/>
        <w:keepNext w:val="0"/>
        <w:keepLines w:val="0"/>
        <w:pageBreakBefore w:val="0"/>
        <w:numPr>
          <w:ilvl w:val="0"/>
          <w:numId w:val="1"/>
        </w:numPr>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 xml:space="preserve"> 服务费用及支付方式</w:t>
      </w:r>
    </w:p>
    <w:p w14:paraId="047CC99A">
      <w:pPr>
        <w:keepNext w:val="0"/>
        <w:keepLines w:val="0"/>
        <w:pageBreakBefore w:val="0"/>
        <w:numPr>
          <w:ilvl w:val="0"/>
          <w:numId w:val="2"/>
        </w:numPr>
        <w:kinsoku/>
        <w:wordWrap/>
        <w:overflowPunct/>
        <w:topLinePunct w:val="0"/>
        <w:autoSpaceDE/>
        <w:autoSpaceDN/>
        <w:bidi w:val="0"/>
        <w:adjustRightInd/>
        <w:spacing w:line="440" w:lineRule="exact"/>
        <w:ind w:firstLine="420" w:firstLineChars="200"/>
        <w:textAlignment w:val="auto"/>
        <w:rPr>
          <w:rFonts w:hint="eastAsia" w:ascii="宋体" w:hAnsi="宋体"/>
          <w:color w:val="auto"/>
          <w:szCs w:val="21"/>
          <w:highlight w:val="none"/>
          <w:lang w:val="zh-CN" w:eastAsia="zh-CN"/>
        </w:rPr>
      </w:pPr>
      <w:r>
        <w:rPr>
          <w:rFonts w:hint="eastAsia" w:ascii="宋体" w:hAnsi="宋体"/>
          <w:color w:val="auto"/>
          <w:szCs w:val="21"/>
          <w:highlight w:val="none"/>
          <w:lang w:val="zh-CN" w:eastAsia="zh-CN"/>
        </w:rPr>
        <w:t>本合同为固定总价合同，合同金额人民币（大写）：</w:t>
      </w:r>
      <w:r>
        <w:rPr>
          <w:rFonts w:hint="eastAsia" w:ascii="宋体" w:hAnsi="宋体"/>
          <w:color w:val="auto"/>
          <w:szCs w:val="21"/>
          <w:highlight w:val="none"/>
          <w:u w:val="single"/>
          <w:lang w:val="zh-CN" w:eastAsia="zh-CN"/>
        </w:rPr>
        <w:t xml:space="preserve">                 </w:t>
      </w:r>
      <w:r>
        <w:rPr>
          <w:rFonts w:hint="eastAsia" w:ascii="宋体" w:hAnsi="宋体"/>
          <w:color w:val="auto"/>
          <w:szCs w:val="21"/>
          <w:highlight w:val="none"/>
          <w:lang w:val="zh-CN" w:eastAsia="zh-CN"/>
        </w:rPr>
        <w:t xml:space="preserve">(小写¥ </w:t>
      </w:r>
      <w:r>
        <w:rPr>
          <w:rFonts w:hint="eastAsia" w:ascii="宋体" w:hAnsi="宋体"/>
          <w:color w:val="auto"/>
          <w:szCs w:val="21"/>
          <w:highlight w:val="none"/>
          <w:u w:val="single"/>
          <w:lang w:val="zh-CN" w:eastAsia="zh-CN"/>
        </w:rPr>
        <w:t xml:space="preserve">       </w:t>
      </w:r>
      <w:r>
        <w:rPr>
          <w:rFonts w:hint="eastAsia" w:ascii="宋体" w:hAnsi="宋体"/>
          <w:color w:val="auto"/>
          <w:szCs w:val="21"/>
          <w:highlight w:val="none"/>
          <w:lang w:val="zh-CN" w:eastAsia="zh-CN"/>
        </w:rPr>
        <w:t xml:space="preserve"> ) ；</w:t>
      </w:r>
    </w:p>
    <w:p w14:paraId="37010275">
      <w:pPr>
        <w:keepNext w:val="0"/>
        <w:keepLines w:val="0"/>
        <w:pageBreakBefore w:val="0"/>
        <w:numPr>
          <w:ilvl w:val="0"/>
          <w:numId w:val="2"/>
        </w:numPr>
        <w:kinsoku/>
        <w:wordWrap/>
        <w:overflowPunct/>
        <w:topLinePunct w:val="0"/>
        <w:autoSpaceDE/>
        <w:autoSpaceDN/>
        <w:bidi w:val="0"/>
        <w:adjustRightInd/>
        <w:spacing w:line="440" w:lineRule="exact"/>
        <w:ind w:firstLine="420" w:firstLineChars="200"/>
        <w:textAlignment w:val="auto"/>
        <w:rPr>
          <w:rFonts w:hint="eastAsia" w:ascii="宋体" w:hAnsi="宋体"/>
          <w:color w:val="auto"/>
          <w:szCs w:val="21"/>
          <w:highlight w:val="none"/>
          <w:lang w:val="zh-CN" w:eastAsia="zh-CN"/>
        </w:rPr>
      </w:pPr>
      <w:r>
        <w:rPr>
          <w:color w:val="auto"/>
        </w:rPr>
        <w:t>合同金额即中标价，合同价格为含税价，</w:t>
      </w:r>
      <w:r>
        <w:rPr>
          <w:rFonts w:hint="eastAsia"/>
          <w:color w:val="auto"/>
        </w:rPr>
        <w:t>合同价款包括但不限于人员工资、保险、服务费、管理费以及增值税等税费等完成本次采购所要求的服务且验收合格的所有费用</w:t>
      </w:r>
      <w:r>
        <w:rPr>
          <w:rFonts w:hint="eastAsia"/>
          <w:color w:val="auto"/>
          <w:lang w:eastAsia="zh-CN"/>
        </w:rPr>
        <w:t>；</w:t>
      </w:r>
    </w:p>
    <w:p w14:paraId="56CB2647">
      <w:pPr>
        <w:keepNext w:val="0"/>
        <w:keepLines w:val="0"/>
        <w:pageBreakBefore w:val="0"/>
        <w:numPr>
          <w:ilvl w:val="0"/>
          <w:numId w:val="2"/>
        </w:numPr>
        <w:kinsoku/>
        <w:wordWrap/>
        <w:overflowPunct/>
        <w:topLinePunct w:val="0"/>
        <w:autoSpaceDE/>
        <w:autoSpaceDN/>
        <w:bidi w:val="0"/>
        <w:adjustRightInd/>
        <w:spacing w:line="440" w:lineRule="exact"/>
        <w:ind w:firstLine="400" w:firstLineChars="200"/>
        <w:textAlignment w:val="auto"/>
        <w:rPr>
          <w:rFonts w:hint="eastAsia" w:ascii="宋体" w:hAnsi="宋体"/>
          <w:color w:val="auto"/>
          <w:szCs w:val="21"/>
          <w:highlight w:val="none"/>
          <w:lang w:val="zh-CN" w:eastAsia="zh-CN"/>
        </w:rPr>
      </w:pPr>
      <w:r>
        <w:rPr>
          <w:rFonts w:hint="eastAsia" w:ascii="宋体" w:hAnsi="宋体" w:eastAsia="宋体" w:cs="宋体"/>
          <w:bCs/>
          <w:color w:val="auto"/>
          <w:sz w:val="20"/>
          <w:szCs w:val="20"/>
          <w:highlight w:val="none"/>
        </w:rPr>
        <w:t>支付方式：</w:t>
      </w:r>
      <w:r>
        <w:rPr>
          <w:rFonts w:hint="eastAsia" w:ascii="宋体" w:hAnsi="宋体" w:eastAsia="宋体" w:cs="宋体"/>
          <w:bCs/>
          <w:color w:val="auto"/>
          <w:sz w:val="20"/>
          <w:szCs w:val="20"/>
          <w:highlight w:val="none"/>
          <w:lang w:val="en-US" w:eastAsia="zh-CN"/>
        </w:rPr>
        <w:t>分期</w:t>
      </w:r>
      <w:r>
        <w:rPr>
          <w:rFonts w:hint="eastAsia" w:ascii="宋体" w:hAnsi="宋体" w:eastAsia="宋体" w:cs="宋体"/>
          <w:bCs/>
          <w:color w:val="auto"/>
          <w:sz w:val="20"/>
          <w:szCs w:val="20"/>
          <w:highlight w:val="none"/>
        </w:rPr>
        <w:t>支付</w:t>
      </w:r>
      <w:r>
        <w:rPr>
          <w:rFonts w:hint="eastAsia" w:ascii="宋体" w:hAnsi="宋体" w:cs="宋体"/>
          <w:bCs/>
          <w:color w:val="auto"/>
          <w:sz w:val="20"/>
          <w:szCs w:val="20"/>
          <w:highlight w:val="none"/>
          <w:lang w:eastAsia="zh-CN"/>
        </w:rPr>
        <w:t>；</w:t>
      </w:r>
    </w:p>
    <w:p w14:paraId="662D94A2">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auto"/>
          <w:szCs w:val="21"/>
          <w:highlight w:val="none"/>
          <w:lang w:val="zh-CN" w:eastAsia="zh-CN"/>
        </w:rPr>
      </w:pPr>
      <w:r>
        <w:rPr>
          <w:rFonts w:hint="eastAsia" w:ascii="宋体" w:hAnsi="宋体"/>
          <w:color w:val="auto"/>
          <w:szCs w:val="21"/>
          <w:highlight w:val="none"/>
          <w:lang w:val="en-US" w:eastAsia="zh-CN"/>
        </w:rPr>
        <w:t>4</w:t>
      </w:r>
      <w:r>
        <w:rPr>
          <w:rFonts w:hint="eastAsia" w:ascii="宋体" w:hAnsi="宋体"/>
          <w:color w:val="auto"/>
          <w:szCs w:val="21"/>
          <w:highlight w:val="none"/>
          <w:lang w:val="zh-CN" w:eastAsia="zh-CN"/>
        </w:rPr>
        <w:t>、服务费按下列比例支付价款：</w:t>
      </w:r>
    </w:p>
    <w:p w14:paraId="54339648">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本项目分两次付款，至少每半年与服务机构结算一次，第一次付款为服务期过半，达到付款条件起 30日内，支付合同总金额的 50.00%。</w:t>
      </w:r>
    </w:p>
    <w:p w14:paraId="1082A2EF">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服务期结束后，项目验收合格且绩效评价全部结束后，达到付款条件起 30 日内，支付合同总金额的 50.00%。</w:t>
      </w:r>
    </w:p>
    <w:p w14:paraId="1A452609">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color w:val="auto"/>
          <w:szCs w:val="21"/>
          <w:highlight w:val="none"/>
          <w:lang w:val="zh-CN" w:eastAsia="zh-CN"/>
        </w:rPr>
      </w:pPr>
      <w:r>
        <w:rPr>
          <w:rFonts w:hint="eastAsia" w:ascii="宋体" w:hAnsi="宋体"/>
          <w:color w:val="auto"/>
          <w:szCs w:val="21"/>
          <w:highlight w:val="none"/>
          <w:lang w:val="en-US" w:eastAsia="zh-CN"/>
        </w:rPr>
        <w:t>5</w:t>
      </w:r>
      <w:r>
        <w:rPr>
          <w:rFonts w:hint="eastAsia" w:ascii="宋体" w:hAnsi="宋体"/>
          <w:color w:val="auto"/>
          <w:szCs w:val="21"/>
          <w:highlight w:val="none"/>
          <w:lang w:val="zh-CN" w:eastAsia="zh-CN"/>
        </w:rPr>
        <w:t>、结算方式：银行转账。</w:t>
      </w:r>
    </w:p>
    <w:p w14:paraId="0A53EC38">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第五条   知识产权</w:t>
      </w:r>
    </w:p>
    <w:p w14:paraId="24FFB35A">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乙方应保证所提供的服务或其任何一部分均不会侵犯任何第三方的专利权、商标权或著作权。</w:t>
      </w:r>
    </w:p>
    <w:p w14:paraId="44B3C2BD">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第六条  无产权瑕疵条款</w:t>
      </w:r>
    </w:p>
    <w:p w14:paraId="32352CA8">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乙方保证所提供的服务的所有权完全属于乙方且无任何抵押、查封等产权瑕疵。如有产权瑕疵的，视为乙方违约。乙方应负担由此而产生的一切损失。</w:t>
      </w:r>
    </w:p>
    <w:p w14:paraId="200DE098">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 xml:space="preserve"> 第七条   履约保证金</w:t>
      </w:r>
    </w:p>
    <w:p w14:paraId="6DA29C15">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1、乙方在签订本合同之前，向甲方构提交履约保证金人民币</w:t>
      </w:r>
      <w:r>
        <w:rPr>
          <w:rFonts w:hint="eastAsia"/>
          <w:color w:val="000000"/>
          <w:sz w:val="21"/>
          <w:szCs w:val="21"/>
          <w:highlight w:val="none"/>
          <w:u w:val="single"/>
        </w:rPr>
        <w:t xml:space="preserve">             </w:t>
      </w:r>
      <w:r>
        <w:rPr>
          <w:rFonts w:hint="eastAsia"/>
          <w:color w:val="000000"/>
          <w:sz w:val="21"/>
          <w:szCs w:val="21"/>
          <w:highlight w:val="none"/>
        </w:rPr>
        <w:t>元，￥</w:t>
      </w:r>
      <w:r>
        <w:rPr>
          <w:rFonts w:hint="eastAsia"/>
          <w:color w:val="000000"/>
          <w:sz w:val="21"/>
          <w:szCs w:val="21"/>
          <w:highlight w:val="none"/>
          <w:u w:val="single"/>
        </w:rPr>
        <w:t xml:space="preserve">        </w:t>
      </w:r>
      <w:r>
        <w:rPr>
          <w:rFonts w:hint="eastAsia"/>
          <w:color w:val="000000"/>
          <w:sz w:val="21"/>
          <w:szCs w:val="21"/>
          <w:highlight w:val="none"/>
        </w:rPr>
        <w:t>元。</w:t>
      </w:r>
    </w:p>
    <w:p w14:paraId="56ED5A1B">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2、履约保证金的有效期为乙方承诺的服务期限。</w:t>
      </w:r>
    </w:p>
    <w:p w14:paraId="2938B85E">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3、履约保证金作为违约金的一部分及用于补偿甲方因乙方不能履行合同义务而蒙受的损失。</w:t>
      </w:r>
    </w:p>
    <w:p w14:paraId="7A0D070F">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4、服务期限结束后，甲方财务部门接到甲方确认本合同服务等约定事项已经履行完毕的正式书面文件后的</w:t>
      </w:r>
      <w:r>
        <w:rPr>
          <w:rFonts w:hint="eastAsia"/>
          <w:color w:val="000000"/>
          <w:sz w:val="21"/>
          <w:szCs w:val="21"/>
          <w:highlight w:val="none"/>
          <w:u w:val="single"/>
        </w:rPr>
        <w:t xml:space="preserve">      </w:t>
      </w:r>
      <w:r>
        <w:rPr>
          <w:rFonts w:hint="eastAsia"/>
          <w:color w:val="000000"/>
          <w:sz w:val="21"/>
          <w:szCs w:val="21"/>
          <w:highlight w:val="none"/>
        </w:rPr>
        <w:t>日内，向乙方退还履约保证金。</w:t>
      </w:r>
    </w:p>
    <w:p w14:paraId="2A464231">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5、乙方可以履约担保函的形式交纳履约保证金（格式见附件1）。</w:t>
      </w:r>
    </w:p>
    <w:p w14:paraId="5D11125C">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第八条  甲方的权利和义务</w:t>
      </w:r>
    </w:p>
    <w:p w14:paraId="0AE2E5A2">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b/>
          <w:bCs/>
          <w:color w:val="000000"/>
          <w:sz w:val="21"/>
          <w:szCs w:val="21"/>
          <w:highlight w:val="none"/>
        </w:rPr>
      </w:pPr>
      <w:r>
        <w:rPr>
          <w:rFonts w:hint="eastAsia"/>
          <w:color w:val="000000"/>
          <w:sz w:val="21"/>
          <w:szCs w:val="21"/>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7709FC11">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color w:val="000000"/>
          <w:sz w:val="21"/>
          <w:szCs w:val="21"/>
        </w:rPr>
      </w:pPr>
      <w:r>
        <w:rPr>
          <w:rFonts w:hint="eastAsia"/>
          <w:color w:val="000000"/>
          <w:sz w:val="21"/>
          <w:szCs w:val="21"/>
        </w:rPr>
        <w:t>2、甲方根据考评办法对乙方提供的服务进行定期考评。当考评结果未达到标准时，有权依据考评办法约定的数额扣除履约保证金。</w:t>
      </w:r>
    </w:p>
    <w:p w14:paraId="0295DFFC">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3、负责检查监督乙方管理工作的实施及制度的执行情况。</w:t>
      </w:r>
    </w:p>
    <w:p w14:paraId="57BC287C">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4、根据本合同规定，按时向乙方支付应付服务费用。</w:t>
      </w:r>
    </w:p>
    <w:p w14:paraId="51952085">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5、国家法律、法规所规定由甲方承担的其它责任。</w:t>
      </w:r>
    </w:p>
    <w:p w14:paraId="13E25973">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第九条  乙方的权利和义务</w:t>
      </w:r>
    </w:p>
    <w:p w14:paraId="2F5CBE7B">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1、对本合同规定的委托服务范围内的项目享有管理权及服务义务。</w:t>
      </w:r>
    </w:p>
    <w:p w14:paraId="19B5B0E0">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2、根据本合同的规定向甲方收取相关服务费用，并有权在本项目管理范围内管理及合理使用。</w:t>
      </w:r>
    </w:p>
    <w:p w14:paraId="45F1A655">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3、及时向甲方通告本项目服务范围内有关服务的重大事项，及时配合处理投诉。</w:t>
      </w:r>
    </w:p>
    <w:p w14:paraId="5C633451">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4、接受项目行业管理部门及政府有关部门的指导，接受甲方的监督。</w:t>
      </w:r>
    </w:p>
    <w:p w14:paraId="410ED6E1">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5、国家法律、法规所规定由乙方承担的其它责任。</w:t>
      </w:r>
    </w:p>
    <w:p w14:paraId="2882972D">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第十条  违约责任</w:t>
      </w:r>
    </w:p>
    <w:p w14:paraId="6AFDCA0F">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1、甲乙双方必须遵守本合同并执行合同中的各项规定，保证本合同的正常履行。</w:t>
      </w:r>
    </w:p>
    <w:p w14:paraId="55F58BE5">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23CAE4A">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第十一条  不可抗力事件处理</w:t>
      </w:r>
    </w:p>
    <w:p w14:paraId="24B519CA">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1、在合同有效期内，任何一方因不可抗力事件导致不能履行合同，则合同履行期可延长，其延长期与不可抗力影响期相同。</w:t>
      </w:r>
    </w:p>
    <w:p w14:paraId="47911140">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2、不可抗力事件发生后，应立即通知对方，并寄送有关权威机构出具的证明。</w:t>
      </w:r>
    </w:p>
    <w:p w14:paraId="11E9C5E9">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ascii="宋体" w:hAnsi="宋体" w:eastAsia="宋体"/>
          <w:b/>
          <w:bCs/>
          <w:color w:val="000000"/>
          <w:sz w:val="21"/>
          <w:szCs w:val="21"/>
          <w:highlight w:val="none"/>
        </w:rPr>
      </w:pPr>
      <w:r>
        <w:rPr>
          <w:rFonts w:hint="eastAsia"/>
          <w:color w:val="000000"/>
          <w:sz w:val="21"/>
          <w:szCs w:val="21"/>
          <w:highlight w:val="none"/>
        </w:rPr>
        <w:t>3、不可抗力事件延续</w:t>
      </w:r>
      <w:r>
        <w:rPr>
          <w:rFonts w:hint="eastAsia"/>
          <w:color w:val="000000"/>
          <w:sz w:val="21"/>
          <w:szCs w:val="21"/>
          <w:highlight w:val="none"/>
          <w:u w:val="single"/>
        </w:rPr>
        <w:t xml:space="preserve">     </w:t>
      </w:r>
      <w:r>
        <w:rPr>
          <w:rFonts w:hint="eastAsia"/>
          <w:color w:val="000000"/>
          <w:sz w:val="21"/>
          <w:szCs w:val="21"/>
          <w:highlight w:val="none"/>
        </w:rPr>
        <w:t>天以上，双方应通过友好协商，确定是否继续履行合同</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Start w:id="18" w:name="_Toc241833908"/>
      <w:bookmarkStart w:id="19" w:name="_Toc286993792"/>
      <w:bookmarkStart w:id="20" w:name="_Toc239568423"/>
      <w:bookmarkStart w:id="21" w:name="_Toc247334846"/>
      <w:bookmarkStart w:id="22" w:name="_Toc225654649"/>
      <w:bookmarkStart w:id="23" w:name="_Toc232492933"/>
      <w:bookmarkStart w:id="24" w:name="_Toc225244857"/>
      <w:bookmarkStart w:id="25" w:name="_Toc211854454"/>
      <w:bookmarkStart w:id="26" w:name="_Toc237145411"/>
      <w:bookmarkStart w:id="27" w:name="_Toc251768867"/>
      <w:bookmarkStart w:id="28" w:name="_Toc225670756"/>
      <w:bookmarkStart w:id="29" w:name="_Toc212019599"/>
      <w:bookmarkStart w:id="30" w:name="_Toc239233919"/>
      <w:bookmarkStart w:id="31" w:name="_Toc211911353"/>
      <w:bookmarkStart w:id="32" w:name="_Toc185395254"/>
      <w:bookmarkStart w:id="33" w:name="_Toc238984980"/>
      <w:r>
        <w:rPr>
          <w:rFonts w:hint="eastAsia" w:ascii="宋体" w:hAnsi="宋体" w:eastAsia="宋体"/>
          <w:color w:val="000000"/>
          <w:sz w:val="21"/>
          <w:szCs w:val="21"/>
          <w:highlight w:val="none"/>
        </w:rPr>
        <w:t>。</w:t>
      </w:r>
      <w:r>
        <w:rPr>
          <w:rFonts w:hint="eastAsia"/>
          <w:b/>
          <w:bCs/>
          <w:color w:val="000000"/>
          <w:sz w:val="21"/>
          <w:szCs w:val="21"/>
          <w:highlight w:val="none"/>
        </w:rPr>
        <w:t xml:space="preserve"> </w:t>
      </w:r>
    </w:p>
    <w:p w14:paraId="0A587AC0">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color w:val="000000"/>
          <w:sz w:val="21"/>
          <w:szCs w:val="21"/>
          <w:highlight w:val="none"/>
        </w:rPr>
      </w:pPr>
      <w:r>
        <w:rPr>
          <w:rFonts w:hint="eastAsia"/>
          <w:b/>
          <w:bCs/>
          <w:color w:val="000000"/>
          <w:sz w:val="21"/>
          <w:szCs w:val="21"/>
          <w:highlight w:val="none"/>
        </w:rPr>
        <w:t>第十二条  合同的变更和终止</w:t>
      </w:r>
    </w:p>
    <w:p w14:paraId="48023DE6">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除《中华人民共和国政府采购法》第49条、第50条第二款规定的情形外，本合同一经签订，甲乙双方不得擅自变更、中止或终止合同。</w:t>
      </w:r>
    </w:p>
    <w:p w14:paraId="2431EF85">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30926B1">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1、在执行本合同中发生的或与本合同有关的争端，双方应通过友好协商解决，经协商在</w:t>
      </w:r>
      <w:r>
        <w:rPr>
          <w:rFonts w:hint="eastAsia"/>
          <w:color w:val="000000"/>
          <w:sz w:val="21"/>
          <w:szCs w:val="21"/>
          <w:highlight w:val="none"/>
          <w:u w:val="single"/>
          <w:lang w:val="en-US" w:eastAsia="zh-CN"/>
        </w:rPr>
        <w:t xml:space="preserve">    </w:t>
      </w:r>
      <w:r>
        <w:rPr>
          <w:rFonts w:hint="eastAsia"/>
          <w:color w:val="000000"/>
          <w:sz w:val="21"/>
          <w:szCs w:val="21"/>
          <w:highlight w:val="none"/>
        </w:rPr>
        <w:t>天内不能达成协议时，则采取以下第</w:t>
      </w:r>
      <w:r>
        <w:rPr>
          <w:rFonts w:hint="eastAsia"/>
          <w:color w:val="000000"/>
          <w:sz w:val="21"/>
          <w:szCs w:val="21"/>
          <w:highlight w:val="none"/>
          <w:lang w:val="en-US" w:eastAsia="zh-CN"/>
        </w:rPr>
        <w:t>1</w:t>
      </w:r>
      <w:r>
        <w:rPr>
          <w:rFonts w:hint="eastAsia"/>
          <w:color w:val="000000"/>
          <w:sz w:val="21"/>
          <w:szCs w:val="21"/>
          <w:highlight w:val="none"/>
        </w:rPr>
        <w:t>种方式解决争议：</w:t>
      </w:r>
    </w:p>
    <w:p w14:paraId="1D60E3A1">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（1）向甲方所在地有管辖权的人民法院提起诉讼；</w:t>
      </w:r>
    </w:p>
    <w:p w14:paraId="1F492CD7">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（2）向</w:t>
      </w:r>
      <w:r>
        <w:rPr>
          <w:rFonts w:hint="eastAsia"/>
          <w:color w:val="000000"/>
          <w:sz w:val="21"/>
          <w:szCs w:val="21"/>
          <w:highlight w:val="none"/>
          <w:u w:val="single"/>
        </w:rPr>
        <w:t>西安</w:t>
      </w:r>
      <w:r>
        <w:rPr>
          <w:rFonts w:hint="eastAsia"/>
          <w:color w:val="000000"/>
          <w:sz w:val="21"/>
          <w:szCs w:val="21"/>
          <w:highlight w:val="none"/>
        </w:rPr>
        <w:t>仲裁委员会按其仲裁规则申请仲裁。</w:t>
      </w:r>
    </w:p>
    <w:p w14:paraId="28EEB36D">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2、在仲裁期间，本合同应继续履行。</w:t>
      </w:r>
    </w:p>
    <w:p w14:paraId="60B5186D">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bookmarkStart w:id="34" w:name="_Toc251768868"/>
      <w:bookmarkStart w:id="35" w:name="_Toc225654650"/>
      <w:bookmarkStart w:id="36" w:name="_Toc185395255"/>
      <w:bookmarkStart w:id="37" w:name="_Toc247334847"/>
      <w:bookmarkStart w:id="38" w:name="_Toc237145412"/>
      <w:bookmarkStart w:id="39" w:name="_Toc211911354"/>
      <w:bookmarkStart w:id="40" w:name="_Toc239233920"/>
      <w:bookmarkStart w:id="41" w:name="_Toc283019219"/>
      <w:bookmarkStart w:id="42" w:name="_Toc211854455"/>
      <w:bookmarkStart w:id="43" w:name="_Toc225670757"/>
      <w:bookmarkStart w:id="44" w:name="_Toc238984981"/>
      <w:bookmarkStart w:id="45" w:name="_Toc232492934"/>
      <w:bookmarkStart w:id="46" w:name="_Toc212019600"/>
      <w:bookmarkStart w:id="47" w:name="_Toc241833909"/>
      <w:bookmarkStart w:id="48" w:name="_Toc225244858"/>
      <w:bookmarkStart w:id="49" w:name="_Toc286993793"/>
      <w:bookmarkStart w:id="50" w:name="_Toc239568424"/>
      <w:bookmarkStart w:id="51" w:name="_Toc282696231"/>
      <w:r>
        <w:rPr>
          <w:rFonts w:hint="eastAsia"/>
          <w:b/>
          <w:bCs/>
          <w:color w:val="000000"/>
          <w:sz w:val="21"/>
          <w:szCs w:val="21"/>
          <w:highlight w:val="none"/>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b/>
          <w:bCs/>
          <w:color w:val="000000"/>
          <w:sz w:val="21"/>
          <w:szCs w:val="21"/>
          <w:highlight w:val="none"/>
        </w:rPr>
        <w:t>生效及其他</w:t>
      </w:r>
    </w:p>
    <w:p w14:paraId="7C9B233F">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1、合同经双方法定代表人或授权委托代理人签字并加盖单位公章后生效。</w:t>
      </w:r>
    </w:p>
    <w:p w14:paraId="02D582B4">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768FFC38">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3、本合同一式陆份，自双方签章之日起起效。甲方贰份，乙方贰份，政府采购代理机构壹份，同级财政部门备案壹份，具有同等法律效力。</w:t>
      </w:r>
    </w:p>
    <w:p w14:paraId="0840FAAA">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2" w:firstLineChars="200"/>
        <w:textAlignment w:val="auto"/>
        <w:rPr>
          <w:rFonts w:hint="eastAsia"/>
          <w:b/>
          <w:bCs/>
          <w:color w:val="000000"/>
          <w:sz w:val="21"/>
          <w:szCs w:val="21"/>
          <w:highlight w:val="none"/>
        </w:rPr>
      </w:pPr>
      <w:r>
        <w:rPr>
          <w:rFonts w:hint="eastAsia"/>
          <w:b/>
          <w:bCs/>
          <w:color w:val="000000"/>
          <w:sz w:val="21"/>
          <w:szCs w:val="21"/>
          <w:highlight w:val="none"/>
        </w:rPr>
        <w:t>第十五条  附件</w:t>
      </w:r>
    </w:p>
    <w:p w14:paraId="01699AA2">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1、项目</w:t>
      </w:r>
      <w:r>
        <w:rPr>
          <w:rFonts w:hint="eastAsia"/>
          <w:color w:val="000000"/>
          <w:sz w:val="21"/>
          <w:szCs w:val="21"/>
          <w:highlight w:val="none"/>
          <w:lang w:val="en-US" w:eastAsia="zh-CN"/>
        </w:rPr>
        <w:t>竞争性磋商</w:t>
      </w:r>
      <w:r>
        <w:rPr>
          <w:rFonts w:hint="eastAsia"/>
          <w:color w:val="000000"/>
          <w:sz w:val="21"/>
          <w:szCs w:val="21"/>
          <w:highlight w:val="none"/>
        </w:rPr>
        <w:t>文件</w:t>
      </w:r>
    </w:p>
    <w:p w14:paraId="35C08E35">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2、项目修改澄清文件</w:t>
      </w:r>
    </w:p>
    <w:p w14:paraId="4479D396">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3、项目</w:t>
      </w:r>
      <w:r>
        <w:rPr>
          <w:rFonts w:hint="eastAsia"/>
          <w:color w:val="000000"/>
          <w:sz w:val="21"/>
          <w:szCs w:val="21"/>
          <w:highlight w:val="none"/>
          <w:lang w:val="en-US" w:eastAsia="zh-CN"/>
        </w:rPr>
        <w:t>响应</w:t>
      </w:r>
      <w:r>
        <w:rPr>
          <w:rFonts w:hint="eastAsia"/>
          <w:color w:val="000000"/>
          <w:sz w:val="21"/>
          <w:szCs w:val="21"/>
          <w:highlight w:val="none"/>
        </w:rPr>
        <w:t>文件</w:t>
      </w:r>
    </w:p>
    <w:p w14:paraId="1C579C60">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440" w:lineRule="exact"/>
        <w:ind w:firstLine="420" w:firstLineChars="200"/>
        <w:textAlignment w:val="auto"/>
        <w:rPr>
          <w:rFonts w:hint="eastAsia"/>
          <w:color w:val="000000"/>
          <w:sz w:val="21"/>
          <w:szCs w:val="21"/>
          <w:highlight w:val="none"/>
        </w:rPr>
      </w:pPr>
      <w:r>
        <w:rPr>
          <w:rFonts w:hint="eastAsia"/>
          <w:color w:val="000000"/>
          <w:sz w:val="21"/>
          <w:szCs w:val="21"/>
          <w:highlight w:val="none"/>
        </w:rPr>
        <w:t>4、</w:t>
      </w:r>
      <w:r>
        <w:rPr>
          <w:rFonts w:hint="eastAsia"/>
          <w:color w:val="000000"/>
          <w:sz w:val="21"/>
          <w:szCs w:val="21"/>
          <w:highlight w:val="none"/>
          <w:lang w:val="en-US" w:eastAsia="zh-CN"/>
        </w:rPr>
        <w:t>成交</w:t>
      </w:r>
      <w:r>
        <w:rPr>
          <w:rFonts w:hint="eastAsia"/>
          <w:color w:val="000000"/>
          <w:sz w:val="21"/>
          <w:szCs w:val="21"/>
          <w:highlight w:val="none"/>
        </w:rPr>
        <w:t>通知书</w:t>
      </w:r>
    </w:p>
    <w:p w14:paraId="0266989A">
      <w:pPr>
        <w:keepNext w:val="0"/>
        <w:keepLines w:val="0"/>
        <w:pageBreakBefore w:val="0"/>
        <w:kinsoku/>
        <w:wordWrap/>
        <w:overflowPunct/>
        <w:topLinePunct w:val="0"/>
        <w:autoSpaceDE/>
        <w:autoSpaceDN/>
        <w:bidi w:val="0"/>
        <w:adjustRightInd/>
        <w:snapToGrid w:val="0"/>
        <w:spacing w:line="440" w:lineRule="exact"/>
        <w:ind w:firstLine="539"/>
        <w:textAlignment w:val="auto"/>
        <w:rPr>
          <w:rFonts w:hint="eastAsia" w:ascii="宋体" w:hAnsi="宋体" w:eastAsia="宋体" w:cs="宋体"/>
          <w:color w:val="000000"/>
          <w:szCs w:val="21"/>
          <w:highlight w:val="none"/>
        </w:rPr>
      </w:pPr>
      <w:r>
        <w:rPr>
          <w:rFonts w:hint="eastAsia"/>
          <w:color w:val="000000"/>
          <w:sz w:val="21"/>
          <w:szCs w:val="21"/>
          <w:highlight w:val="none"/>
        </w:rPr>
        <w:t>5、其他</w:t>
      </w:r>
    </w:p>
    <w:p w14:paraId="687FBFD6">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cs="宋体"/>
          <w:color w:val="000000"/>
          <w:szCs w:val="21"/>
          <w:highlight w:val="none"/>
        </w:rPr>
      </w:pPr>
    </w:p>
    <w:p w14:paraId="067F4E86">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cs="宋体"/>
          <w:color w:val="000000"/>
          <w:szCs w:val="21"/>
          <w:highlight w:val="none"/>
        </w:rPr>
      </w:pPr>
    </w:p>
    <w:p w14:paraId="4EEC4BAC">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cs="宋体"/>
          <w:color w:val="000000"/>
          <w:szCs w:val="21"/>
          <w:highlight w:val="none"/>
        </w:rPr>
      </w:pPr>
    </w:p>
    <w:p w14:paraId="76004577">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cs="宋体"/>
          <w:color w:val="000000"/>
          <w:szCs w:val="21"/>
          <w:highlight w:val="none"/>
        </w:rPr>
      </w:pPr>
    </w:p>
    <w:p w14:paraId="04BB8B3C">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cs="宋体"/>
          <w:color w:val="000000"/>
          <w:szCs w:val="21"/>
          <w:highlight w:val="none"/>
        </w:rPr>
      </w:pPr>
    </w:p>
    <w:p w14:paraId="4CCAF312">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cs="宋体"/>
          <w:color w:val="000000"/>
          <w:szCs w:val="21"/>
          <w:highlight w:val="none"/>
        </w:rPr>
      </w:pPr>
    </w:p>
    <w:p w14:paraId="03DDD61E">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cs="宋体"/>
          <w:color w:val="000000"/>
          <w:szCs w:val="21"/>
          <w:highlight w:val="none"/>
        </w:rPr>
      </w:pPr>
    </w:p>
    <w:p w14:paraId="05F1C773">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cs="宋体"/>
          <w:color w:val="000000"/>
          <w:szCs w:val="21"/>
          <w:highlight w:val="none"/>
        </w:rPr>
      </w:pPr>
    </w:p>
    <w:p w14:paraId="50D69C05">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cs="宋体"/>
          <w:color w:val="000000"/>
          <w:szCs w:val="21"/>
          <w:highlight w:val="none"/>
        </w:rPr>
      </w:pPr>
    </w:p>
    <w:p w14:paraId="7171A233">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cs="宋体"/>
          <w:color w:val="000000"/>
          <w:szCs w:val="21"/>
          <w:highlight w:val="none"/>
        </w:rPr>
      </w:pPr>
    </w:p>
    <w:p w14:paraId="3B57A606">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cs="宋体"/>
          <w:color w:val="000000"/>
          <w:szCs w:val="21"/>
          <w:highlight w:val="none"/>
        </w:rPr>
      </w:pPr>
    </w:p>
    <w:p w14:paraId="7FCA2AF8">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cs="宋体"/>
          <w:color w:val="000000"/>
          <w:szCs w:val="21"/>
          <w:highlight w:val="none"/>
        </w:rPr>
      </w:pPr>
    </w:p>
    <w:p w14:paraId="6970CF0C">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cs="宋体"/>
          <w:color w:val="000000"/>
          <w:szCs w:val="21"/>
          <w:highlight w:val="none"/>
        </w:rPr>
      </w:pPr>
    </w:p>
    <w:p w14:paraId="7C899484">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cs="宋体"/>
          <w:color w:val="000000"/>
          <w:szCs w:val="21"/>
          <w:highlight w:val="none"/>
        </w:rPr>
      </w:pPr>
    </w:p>
    <w:p w14:paraId="3384C82B">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cs="宋体"/>
          <w:color w:val="000000"/>
          <w:szCs w:val="21"/>
          <w:highlight w:val="none"/>
        </w:rPr>
      </w:pPr>
    </w:p>
    <w:p w14:paraId="7F5A0C7F">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cs="宋体"/>
          <w:color w:val="000000"/>
          <w:szCs w:val="21"/>
          <w:highlight w:val="none"/>
        </w:rPr>
      </w:pPr>
    </w:p>
    <w:p w14:paraId="1A689A07">
      <w:pPr>
        <w:keepNext w:val="0"/>
        <w:keepLines w:val="0"/>
        <w:pageBreakBefore w:val="0"/>
        <w:kinsoku/>
        <w:wordWrap/>
        <w:overflowPunct/>
        <w:topLinePunct w:val="0"/>
        <w:autoSpaceDE/>
        <w:autoSpaceDN/>
        <w:bidi w:val="0"/>
        <w:adjustRightInd/>
        <w:spacing w:before="120" w:beforeLines="50" w:after="120" w:afterLines="50" w:line="440" w:lineRule="exact"/>
        <w:ind w:firstLine="422" w:firstLineChars="200"/>
        <w:textAlignment w:val="auto"/>
        <w:rPr>
          <w:rFonts w:hint="eastAsia" w:ascii="宋体" w:hAnsi="宋体" w:cs="宋体"/>
          <w:b/>
          <w:bCs/>
          <w:color w:val="000000"/>
          <w:sz w:val="21"/>
          <w:szCs w:val="21"/>
          <w:highlight w:val="none"/>
          <w:lang w:eastAsia="zh-CN"/>
        </w:rPr>
      </w:pPr>
    </w:p>
    <w:p w14:paraId="143AE226">
      <w:pPr>
        <w:keepNext w:val="0"/>
        <w:keepLines w:val="0"/>
        <w:pageBreakBefore w:val="0"/>
        <w:kinsoku/>
        <w:wordWrap/>
        <w:overflowPunct/>
        <w:topLinePunct w:val="0"/>
        <w:autoSpaceDE/>
        <w:autoSpaceDN/>
        <w:bidi w:val="0"/>
        <w:adjustRightInd/>
        <w:spacing w:before="120" w:beforeLines="50" w:after="120" w:afterLines="50" w:line="440" w:lineRule="exact"/>
        <w:ind w:firstLine="422" w:firstLineChars="200"/>
        <w:textAlignment w:val="auto"/>
        <w:rPr>
          <w:rFonts w:hint="eastAsia" w:ascii="宋体" w:hAnsi="宋体" w:cs="宋体"/>
          <w:b/>
          <w:bCs/>
          <w:color w:val="000000"/>
          <w:sz w:val="21"/>
          <w:szCs w:val="21"/>
          <w:highlight w:val="none"/>
          <w:lang w:eastAsia="zh-CN"/>
        </w:rPr>
      </w:pPr>
    </w:p>
    <w:p w14:paraId="6C7CC1F6">
      <w:pPr>
        <w:keepNext w:val="0"/>
        <w:keepLines w:val="0"/>
        <w:pageBreakBefore w:val="0"/>
        <w:kinsoku/>
        <w:wordWrap/>
        <w:overflowPunct/>
        <w:topLinePunct w:val="0"/>
        <w:autoSpaceDE/>
        <w:autoSpaceDN/>
        <w:bidi w:val="0"/>
        <w:adjustRightInd/>
        <w:spacing w:before="120" w:beforeLines="50" w:after="120" w:afterLines="50" w:line="440" w:lineRule="exact"/>
        <w:ind w:firstLine="422" w:firstLineChars="200"/>
        <w:textAlignment w:val="auto"/>
        <w:rPr>
          <w:rFonts w:hint="eastAsia" w:ascii="宋体" w:hAnsi="宋体" w:cs="宋体"/>
          <w:b/>
          <w:bCs/>
          <w:color w:val="000000"/>
          <w:sz w:val="21"/>
          <w:szCs w:val="21"/>
          <w:highlight w:val="none"/>
          <w:lang w:eastAsia="zh-CN"/>
        </w:rPr>
      </w:pPr>
      <w:r>
        <w:rPr>
          <w:rFonts w:hint="eastAsia" w:ascii="宋体" w:hAnsi="宋体" w:cs="宋体"/>
          <w:b/>
          <w:bCs/>
          <w:color w:val="000000"/>
          <w:sz w:val="21"/>
          <w:szCs w:val="21"/>
          <w:highlight w:val="none"/>
          <w:lang w:eastAsia="zh-CN"/>
        </w:rPr>
        <w:t>（</w:t>
      </w:r>
      <w:r>
        <w:rPr>
          <w:rFonts w:hint="eastAsia" w:ascii="宋体" w:hAnsi="宋体" w:cs="宋体"/>
          <w:b/>
          <w:bCs/>
          <w:color w:val="000000"/>
          <w:sz w:val="21"/>
          <w:szCs w:val="21"/>
          <w:highlight w:val="none"/>
          <w:lang w:val="en-US" w:eastAsia="zh-CN"/>
        </w:rPr>
        <w:t>签署页</w:t>
      </w:r>
      <w:r>
        <w:rPr>
          <w:rFonts w:hint="eastAsia" w:ascii="宋体" w:hAnsi="宋体" w:cs="宋体"/>
          <w:b/>
          <w:bCs/>
          <w:color w:val="000000"/>
          <w:sz w:val="21"/>
          <w:szCs w:val="21"/>
          <w:highlight w:val="none"/>
          <w:lang w:eastAsia="zh-CN"/>
        </w:rPr>
        <w:t>）</w:t>
      </w:r>
    </w:p>
    <w:p w14:paraId="6BC62384">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eastAsia" w:ascii="宋体" w:hAnsi="宋体" w:eastAsia="宋体" w:cs="宋体"/>
          <w:color w:val="000000"/>
          <w:szCs w:val="21"/>
          <w:highlight w:val="none"/>
        </w:rPr>
      </w:pPr>
    </w:p>
    <w:p w14:paraId="04166EE2">
      <w:pPr>
        <w:keepNext w:val="0"/>
        <w:keepLines w:val="0"/>
        <w:pageBreakBefore w:val="0"/>
        <w:kinsoku/>
        <w:wordWrap/>
        <w:overflowPunct/>
        <w:topLinePunct w:val="0"/>
        <w:autoSpaceDE/>
        <w:autoSpaceDN/>
        <w:bidi w:val="0"/>
        <w:adjustRightInd/>
        <w:spacing w:before="120" w:beforeLines="50" w:after="120" w:afterLines="50" w:line="440" w:lineRule="exact"/>
        <w:ind w:firstLine="420" w:firstLineChars="200"/>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 xml:space="preserve">甲方：   （盖章）   </w:t>
      </w:r>
      <w:r>
        <w:rPr>
          <w:rFonts w:hint="eastAsia" w:ascii="宋体" w:hAnsi="宋体" w:eastAsia="宋体" w:cs="宋体"/>
          <w:color w:val="000000"/>
          <w:szCs w:val="21"/>
          <w:highlight w:val="none"/>
        </w:rPr>
        <w:tab/>
      </w:r>
      <w:r>
        <w:rPr>
          <w:rFonts w:hint="eastAsia" w:ascii="宋体" w:hAnsi="宋体" w:eastAsia="宋体" w:cs="宋体"/>
          <w:color w:val="000000"/>
          <w:szCs w:val="21"/>
          <w:highlight w:val="none"/>
        </w:rPr>
        <w:tab/>
      </w:r>
      <w:r>
        <w:rPr>
          <w:rFonts w:hint="eastAsia" w:ascii="宋体" w:hAnsi="宋体" w:eastAsia="宋体" w:cs="宋体"/>
          <w:color w:val="000000"/>
          <w:szCs w:val="21"/>
          <w:highlight w:val="none"/>
        </w:rPr>
        <w:tab/>
      </w:r>
      <w:r>
        <w:rPr>
          <w:rFonts w:hint="eastAsia" w:ascii="宋体" w:hAnsi="宋体" w:eastAsia="宋体" w:cs="宋体"/>
          <w:color w:val="000000"/>
          <w:szCs w:val="21"/>
          <w:highlight w:val="none"/>
        </w:rPr>
        <w:t xml:space="preserve">    乙方：   （盖章）</w:t>
      </w:r>
    </w:p>
    <w:p w14:paraId="6364D679">
      <w:pPr>
        <w:keepNext w:val="0"/>
        <w:keepLines w:val="0"/>
        <w:pageBreakBefore w:val="0"/>
        <w:kinsoku/>
        <w:wordWrap/>
        <w:overflowPunct/>
        <w:topLinePunct w:val="0"/>
        <w:autoSpaceDE/>
        <w:autoSpaceDN/>
        <w:bidi w:val="0"/>
        <w:adjustRightInd/>
        <w:spacing w:before="120" w:beforeLines="50" w:after="120" w:afterLines="50" w:line="440" w:lineRule="exact"/>
        <w:ind w:firstLine="420" w:firstLineChars="200"/>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负责人/委托代理人：                 法定代表人/委托代理人：</w:t>
      </w:r>
    </w:p>
    <w:p w14:paraId="21329D40">
      <w:pPr>
        <w:keepNext w:val="0"/>
        <w:keepLines w:val="0"/>
        <w:pageBreakBefore w:val="0"/>
        <w:kinsoku/>
        <w:wordWrap/>
        <w:overflowPunct/>
        <w:topLinePunct w:val="0"/>
        <w:autoSpaceDE/>
        <w:autoSpaceDN/>
        <w:bidi w:val="0"/>
        <w:adjustRightInd/>
        <w:spacing w:before="120" w:beforeLines="50" w:after="120" w:afterLines="50" w:line="440" w:lineRule="exact"/>
        <w:ind w:firstLine="420" w:firstLineChars="200"/>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地    址：                          地    址：</w:t>
      </w:r>
    </w:p>
    <w:p w14:paraId="12F21BA4">
      <w:pPr>
        <w:keepNext w:val="0"/>
        <w:keepLines w:val="0"/>
        <w:pageBreakBefore w:val="0"/>
        <w:kinsoku/>
        <w:wordWrap/>
        <w:overflowPunct/>
        <w:topLinePunct w:val="0"/>
        <w:autoSpaceDE/>
        <w:autoSpaceDN/>
        <w:bidi w:val="0"/>
        <w:adjustRightInd/>
        <w:spacing w:before="120" w:beforeLines="50" w:after="120" w:afterLines="50" w:line="440" w:lineRule="exact"/>
        <w:ind w:firstLine="420" w:firstLineChars="200"/>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开户银行：                          开户银行：</w:t>
      </w:r>
    </w:p>
    <w:p w14:paraId="28AA604C">
      <w:pPr>
        <w:keepNext w:val="0"/>
        <w:keepLines w:val="0"/>
        <w:pageBreakBefore w:val="0"/>
        <w:kinsoku/>
        <w:wordWrap/>
        <w:overflowPunct/>
        <w:topLinePunct w:val="0"/>
        <w:autoSpaceDE/>
        <w:autoSpaceDN/>
        <w:bidi w:val="0"/>
        <w:adjustRightInd/>
        <w:spacing w:before="120" w:beforeLines="50" w:after="120" w:afterLines="50" w:line="440" w:lineRule="exact"/>
        <w:ind w:firstLine="420" w:firstLineChars="200"/>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账    号：                          账    号：</w:t>
      </w:r>
    </w:p>
    <w:p w14:paraId="69052DA0">
      <w:pPr>
        <w:keepNext w:val="0"/>
        <w:keepLines w:val="0"/>
        <w:pageBreakBefore w:val="0"/>
        <w:kinsoku/>
        <w:wordWrap/>
        <w:overflowPunct/>
        <w:topLinePunct w:val="0"/>
        <w:autoSpaceDE/>
        <w:autoSpaceDN/>
        <w:bidi w:val="0"/>
        <w:adjustRightInd/>
        <w:spacing w:before="120" w:beforeLines="50" w:after="120" w:afterLines="50" w:line="440" w:lineRule="exact"/>
        <w:ind w:firstLine="420" w:firstLineChars="200"/>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电    话：                          电    话：</w:t>
      </w:r>
    </w:p>
    <w:p w14:paraId="2E947AE0">
      <w:pPr>
        <w:keepNext w:val="0"/>
        <w:keepLines w:val="0"/>
        <w:pageBreakBefore w:val="0"/>
        <w:kinsoku/>
        <w:wordWrap/>
        <w:overflowPunct/>
        <w:topLinePunct w:val="0"/>
        <w:autoSpaceDE/>
        <w:autoSpaceDN/>
        <w:bidi w:val="0"/>
        <w:adjustRightInd/>
        <w:spacing w:before="120" w:beforeLines="50" w:after="120" w:afterLines="50" w:line="440" w:lineRule="exact"/>
        <w:ind w:firstLine="420" w:firstLineChars="200"/>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传    真：                          传    真：</w:t>
      </w:r>
    </w:p>
    <w:p w14:paraId="6513B833">
      <w:pPr>
        <w:keepNext w:val="0"/>
        <w:keepLines w:val="0"/>
        <w:pageBreakBefore w:val="0"/>
        <w:kinsoku/>
        <w:wordWrap/>
        <w:overflowPunct/>
        <w:topLinePunct w:val="0"/>
        <w:autoSpaceDE/>
        <w:autoSpaceDN/>
        <w:bidi w:val="0"/>
        <w:adjustRightInd/>
        <w:spacing w:before="120" w:beforeLines="50" w:after="120" w:afterLines="50" w:line="440" w:lineRule="exact"/>
        <w:ind w:firstLine="420" w:firstLineChars="200"/>
        <w:textAlignment w:val="auto"/>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签约日期：    年  月  日            签约日期：    年  月  日</w:t>
      </w:r>
    </w:p>
    <w:p w14:paraId="57570C75">
      <w:pPr>
        <w:keepNext w:val="0"/>
        <w:keepLines w:val="0"/>
        <w:pageBreakBefore w:val="0"/>
        <w:kinsoku/>
        <w:wordWrap/>
        <w:overflowPunct/>
        <w:topLinePunct w:val="0"/>
        <w:autoSpaceDE/>
        <w:autoSpaceDN/>
        <w:bidi w:val="0"/>
        <w:adjustRightInd/>
        <w:spacing w:line="440" w:lineRule="exact"/>
        <w:textAlignment w:val="auto"/>
      </w:pPr>
    </w:p>
    <w:p w14:paraId="0C40EDE8">
      <w:pPr>
        <w:keepNext w:val="0"/>
        <w:keepLines w:val="0"/>
        <w:pageBreakBefore w:val="0"/>
        <w:kinsoku/>
        <w:wordWrap/>
        <w:overflowPunct/>
        <w:topLinePunct w:val="0"/>
        <w:autoSpaceDE/>
        <w:autoSpaceDN/>
        <w:bidi w:val="0"/>
        <w:adjustRightInd/>
        <w:spacing w:line="440" w:lineRule="exact"/>
        <w:textAlignment w:val="auto"/>
        <w:rPr>
          <w:rFonts w:hint="eastAsia"/>
          <w:lang w:val="en-US" w:eastAsia="zh-CN"/>
        </w:rPr>
      </w:pPr>
    </w:p>
    <w:sectPr>
      <w:footerReference r:id="rId3" w:type="default"/>
      <w:pgSz w:w="11906" w:h="16838"/>
      <w:pgMar w:top="1440" w:right="1576"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3B82C">
    <w:pPr>
      <w:pStyle w:val="7"/>
      <w:ind w:firstLine="7420" w:firstLineChars="2650"/>
      <w:jc w:val="right"/>
      <w:rPr>
        <w:rFonts w:ascii="宋体" w:hAnsi="宋体"/>
        <w:sz w:val="28"/>
        <w:szCs w:val="2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1348A6"/>
    <w:multiLevelType w:val="singleLevel"/>
    <w:tmpl w:val="081348A6"/>
    <w:lvl w:ilvl="0" w:tentative="0">
      <w:start w:val="1"/>
      <w:numFmt w:val="decimal"/>
      <w:suff w:val="nothing"/>
      <w:lvlText w:val="%1、"/>
      <w:lvlJc w:val="left"/>
    </w:lvl>
  </w:abstractNum>
  <w:abstractNum w:abstractNumId="1">
    <w:nsid w:val="5EAF7BAD"/>
    <w:multiLevelType w:val="singleLevel"/>
    <w:tmpl w:val="5EAF7BAD"/>
    <w:lvl w:ilvl="0" w:tentative="0">
      <w:start w:val="3"/>
      <w:numFmt w:val="chineseCounting"/>
      <w:suff w:val="space"/>
      <w:lvlText w:val="第%1条"/>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3Y2Y1MjYwZDg0YjIxNDdiNGQwOWUxMDA2MzhjNGUifQ=="/>
  </w:docVars>
  <w:rsids>
    <w:rsidRoot w:val="176C01D9"/>
    <w:rsid w:val="002D474B"/>
    <w:rsid w:val="00F138AB"/>
    <w:rsid w:val="01EA3F46"/>
    <w:rsid w:val="062F5B92"/>
    <w:rsid w:val="07664639"/>
    <w:rsid w:val="077B6F7A"/>
    <w:rsid w:val="09DA274C"/>
    <w:rsid w:val="0CB40153"/>
    <w:rsid w:val="0D58062B"/>
    <w:rsid w:val="0E324C23"/>
    <w:rsid w:val="11FF4EAC"/>
    <w:rsid w:val="13BB5799"/>
    <w:rsid w:val="1451579D"/>
    <w:rsid w:val="169D1C2D"/>
    <w:rsid w:val="176C01D9"/>
    <w:rsid w:val="17B617BC"/>
    <w:rsid w:val="18F052B4"/>
    <w:rsid w:val="193261D5"/>
    <w:rsid w:val="1A58610F"/>
    <w:rsid w:val="1A9F1655"/>
    <w:rsid w:val="1BEC6B0F"/>
    <w:rsid w:val="1C30675A"/>
    <w:rsid w:val="1D51109C"/>
    <w:rsid w:val="1E0053B8"/>
    <w:rsid w:val="1F15637C"/>
    <w:rsid w:val="205A2C19"/>
    <w:rsid w:val="2844613A"/>
    <w:rsid w:val="289A2E7C"/>
    <w:rsid w:val="29057F95"/>
    <w:rsid w:val="293A3EEE"/>
    <w:rsid w:val="2C720871"/>
    <w:rsid w:val="2CD46729"/>
    <w:rsid w:val="2D3B4465"/>
    <w:rsid w:val="2EE63861"/>
    <w:rsid w:val="30497BB3"/>
    <w:rsid w:val="32552C4F"/>
    <w:rsid w:val="32C6742A"/>
    <w:rsid w:val="3590066B"/>
    <w:rsid w:val="372473DA"/>
    <w:rsid w:val="38C572B1"/>
    <w:rsid w:val="38EC5F48"/>
    <w:rsid w:val="391D25A6"/>
    <w:rsid w:val="39483DC3"/>
    <w:rsid w:val="3A197F26"/>
    <w:rsid w:val="3C451302"/>
    <w:rsid w:val="3E8530FC"/>
    <w:rsid w:val="3EDD6C77"/>
    <w:rsid w:val="3FB81256"/>
    <w:rsid w:val="41861441"/>
    <w:rsid w:val="41FF2F19"/>
    <w:rsid w:val="424C09CC"/>
    <w:rsid w:val="441A760A"/>
    <w:rsid w:val="46D544C0"/>
    <w:rsid w:val="494F3913"/>
    <w:rsid w:val="4A2D2E4F"/>
    <w:rsid w:val="4EB26D40"/>
    <w:rsid w:val="4EF622D8"/>
    <w:rsid w:val="50636077"/>
    <w:rsid w:val="54210A02"/>
    <w:rsid w:val="55332479"/>
    <w:rsid w:val="55935C72"/>
    <w:rsid w:val="564E0F27"/>
    <w:rsid w:val="5BF8003B"/>
    <w:rsid w:val="5EB52422"/>
    <w:rsid w:val="618D16D8"/>
    <w:rsid w:val="619E0B69"/>
    <w:rsid w:val="642F0DCB"/>
    <w:rsid w:val="645C36D2"/>
    <w:rsid w:val="65865366"/>
    <w:rsid w:val="66AF665E"/>
    <w:rsid w:val="672839B8"/>
    <w:rsid w:val="67713F27"/>
    <w:rsid w:val="6AFB6180"/>
    <w:rsid w:val="6DDB7D5E"/>
    <w:rsid w:val="716D7562"/>
    <w:rsid w:val="736425A4"/>
    <w:rsid w:val="74A05A6F"/>
    <w:rsid w:val="75AD6D14"/>
    <w:rsid w:val="75EA7781"/>
    <w:rsid w:val="777609B3"/>
    <w:rsid w:val="77D85F3D"/>
    <w:rsid w:val="78062C64"/>
    <w:rsid w:val="79D96BE3"/>
    <w:rsid w:val="7ABC540E"/>
    <w:rsid w:val="7CED5CB0"/>
    <w:rsid w:val="7CFA180B"/>
    <w:rsid w:val="7DDA0387"/>
    <w:rsid w:val="7DE61BF9"/>
    <w:rsid w:val="7E2243C1"/>
    <w:rsid w:val="7E685429"/>
    <w:rsid w:val="7EC56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adjustRightInd w:val="0"/>
      <w:spacing w:before="280" w:after="290" w:line="376" w:lineRule="atLeast"/>
      <w:textAlignment w:val="baseline"/>
      <w:outlineLvl w:val="3"/>
    </w:pPr>
    <w:rPr>
      <w:rFonts w:ascii="Arial" w:hAnsi="Arial"/>
      <w:b/>
      <w:spacing w:val="20"/>
      <w:sz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99"/>
    <w:pPr>
      <w:spacing w:line="600" w:lineRule="exact"/>
      <w:ind w:firstLine="420" w:firstLineChars="200"/>
    </w:pPr>
    <w:rPr>
      <w:rFonts w:eastAsia="方正仿宋_GBK"/>
    </w:rPr>
  </w:style>
  <w:style w:type="paragraph" w:styleId="4">
    <w:name w:val="index 6"/>
    <w:basedOn w:val="1"/>
    <w:next w:val="1"/>
    <w:unhideWhenUsed/>
    <w:qFormat/>
    <w:uiPriority w:val="99"/>
    <w:rPr>
      <w:rFonts w:ascii="黑体" w:hAnsi="黑体" w:eastAsia="黑体"/>
      <w:sz w:val="32"/>
      <w:szCs w:val="32"/>
    </w:rPr>
  </w:style>
  <w:style w:type="paragraph" w:styleId="5">
    <w:name w:val="Body Text"/>
    <w:basedOn w:val="1"/>
    <w:qFormat/>
    <w:uiPriority w:val="99"/>
    <w:pPr>
      <w:jc w:val="left"/>
    </w:pPr>
    <w:rPr>
      <w:kern w:val="0"/>
    </w:rPr>
  </w:style>
  <w:style w:type="paragraph" w:styleId="6">
    <w:name w:val="Body Text Indent"/>
    <w:basedOn w:val="1"/>
    <w:qFormat/>
    <w:uiPriority w:val="0"/>
    <w:pPr>
      <w:spacing w:line="640" w:lineRule="exact"/>
      <w:ind w:firstLine="585"/>
    </w:pPr>
    <w:rPr>
      <w:rFonts w:ascii="楷体_GB2312" w:eastAsia="楷体_GB2312"/>
      <w:sz w:val="32"/>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0">
    <w:name w:val="Body Text First Indent"/>
    <w:basedOn w:val="5"/>
    <w:qFormat/>
    <w:uiPriority w:val="0"/>
    <w:pPr>
      <w:ind w:firstLine="420" w:firstLineChars="100"/>
    </w:pPr>
    <w:rPr>
      <w:szCs w:val="20"/>
    </w:rPr>
  </w:style>
  <w:style w:type="paragraph" w:styleId="11">
    <w:name w:val="Body Text First Indent 2"/>
    <w:basedOn w:val="6"/>
    <w:qFormat/>
    <w:uiPriority w:val="0"/>
    <w:pPr>
      <w:ind w:firstLine="420" w:firstLineChars="200"/>
    </w:pPr>
  </w:style>
  <w:style w:type="paragraph" w:customStyle="1" w:styleId="14">
    <w:name w:val="无间隔1"/>
    <w:qFormat/>
    <w:uiPriority w:val="1"/>
    <w:pPr>
      <w:widowControl w:val="0"/>
    </w:pPr>
    <w:rPr>
      <w:rFonts w:ascii="Calibri" w:hAnsi="Calibri" w:eastAsia="宋体" w:cs="Times New Roman"/>
      <w:kern w:val="2"/>
      <w:sz w:val="21"/>
      <w:szCs w:val="22"/>
      <w:lang w:val="en-US" w:eastAsia="zh-CN" w:bidi="ar-SA"/>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2661</Words>
  <Characters>2694</Characters>
  <Lines>14</Lines>
  <Paragraphs>3</Paragraphs>
  <TotalTime>0</TotalTime>
  <ScaleCrop>false</ScaleCrop>
  <LinksUpToDate>false</LinksUpToDate>
  <CharactersWithSpaces>3046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2021-09-03T03:26:00Z</dcterms:created>
  <dc:creator>蛋蛋</dc:creator>
  <cp:lastModifiedBy>Hanson 汉森</cp:lastModifiedBy>
  <dcterms:modified xsi:type="dcterms:W3CDTF">2025-04-23T07:41:02Z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9A7FF45616C842F698B5A9472F9B5BA1</vt:lpwstr>
  </property>
  <property fmtid="{D5CDD505-2E9C-101B-9397-08002B2CF9AE}" pid="4" name="KSOTemplateDocerSaveRecord">
    <vt:lpwstr>eyJoZGlkIjoiMDk3Y2Y1MjYwZDg0YjIxNDdiNGQwOWUxMDA2MzhjNGUiLCJ1c2VySWQiOiI1MTAwOTgyNjgifQ==</vt:lpwstr>
  </property>
</Properties>
</file>