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版本号：JXZB2025-00320250423001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鄠邑区2025年残疾人居家安养服务项目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JXZB2025-003</w:t>
      </w:r>
      <w:r>
        <w:br/>
      </w:r>
      <w:r>
        <w:br/>
      </w:r>
      <w:r>
        <w:br/>
      </w:r>
    </w:p>
    <w:p>
      <w:pPr>
        <w:pStyle w:val="null3"/>
        <w:jc w:val="center"/>
        <w:outlineLvl w:val="2"/>
      </w:pPr>
      <w:r>
        <w:rPr>
          <w:rFonts w:ascii="仿宋_GB2312" w:hAnsi="仿宋_GB2312" w:cs="仿宋_GB2312" w:eastAsia="仿宋_GB2312"/>
          <w:sz w:val="28"/>
          <w:b/>
        </w:rPr>
        <w:t>西安市鄠邑区残疾人联合会</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西安市鄠邑区残疾人联合会</w:t>
      </w:r>
      <w:r>
        <w:rPr>
          <w:rFonts w:ascii="仿宋_GB2312" w:hAnsi="仿宋_GB2312" w:cs="仿宋_GB2312" w:eastAsia="仿宋_GB2312"/>
        </w:rPr>
        <w:t>委托，拟对</w:t>
      </w:r>
      <w:r>
        <w:rPr>
          <w:rFonts w:ascii="仿宋_GB2312" w:hAnsi="仿宋_GB2312" w:cs="仿宋_GB2312" w:eastAsia="仿宋_GB2312"/>
        </w:rPr>
        <w:t>鄠邑区2025年残疾人居家安养服务项目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JXZB2025-003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鄠邑区2025年残疾人居家安养服务项目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鄠邑区2025年残疾人居家安养服务项目：以社区（村）和社会服务机构为单位，建立社会化服务体系，采取定期上门、计时服务等形式，为分散居住在家、不适宜或不愿意到机构中的残疾人提供生活照料、康复养护、心理疏导等居家生活服务。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等国家规定的相关证明，自然人参与的提供其身份证明：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财务状况报表：提供2023年度或2024年度经审计的财务报告，或提交自2024年9月1日以来其基本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3、税收缴纳证明：提供供应商2024年至今任意一个月已缴纳的完税凭证或税务机关开具的完税证明（任意税种），依法免税的单位应提供相关证明材料；</w:t>
      </w:r>
    </w:p>
    <w:p>
      <w:pPr>
        <w:pStyle w:val="null3"/>
      </w:pPr>
      <w:r>
        <w:rPr>
          <w:rFonts w:ascii="仿宋_GB2312" w:hAnsi="仿宋_GB2312" w:cs="仿宋_GB2312" w:eastAsia="仿宋_GB2312"/>
        </w:rPr>
        <w:t>4、社会保障资金缴纳证明：提供供应商2024年至今任意一个月的社会保障资金缴存单据或社保机构开具的社会保险参保缴费情况证明。依法不需要缴纳社会保障资金的供应商应提供相关证明文件；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5、声明书：提供具有履行本合同所必需的设备和专业技术能力的声明；</w:t>
      </w:r>
    </w:p>
    <w:p>
      <w:pPr>
        <w:pStyle w:val="null3"/>
      </w:pPr>
      <w:r>
        <w:rPr>
          <w:rFonts w:ascii="仿宋_GB2312" w:hAnsi="仿宋_GB2312" w:cs="仿宋_GB2312" w:eastAsia="仿宋_GB2312"/>
        </w:rPr>
        <w:t>6、声明书：出具参加政府采购活动前3年内在经营活动中没有重大违法记录的书面声明；</w:t>
      </w:r>
    </w:p>
    <w:p>
      <w:pPr>
        <w:pStyle w:val="null3"/>
      </w:pPr>
      <w:r>
        <w:rPr>
          <w:rFonts w:ascii="仿宋_GB2312" w:hAnsi="仿宋_GB2312" w:cs="仿宋_GB2312" w:eastAsia="仿宋_GB2312"/>
        </w:rPr>
        <w:t>7、法定代表人授权书：法定代表人授权书及被授权人身份证(法定代表人直接参加投标，须提交其身份证复印件及法定代表人身份证明)；</w:t>
      </w:r>
    </w:p>
    <w:p>
      <w:pPr>
        <w:pStyle w:val="null3"/>
      </w:pPr>
      <w:r>
        <w:rPr>
          <w:rFonts w:ascii="仿宋_GB2312" w:hAnsi="仿宋_GB2312" w:cs="仿宋_GB2312" w:eastAsia="仿宋_GB2312"/>
        </w:rPr>
        <w:t>8、信用截图：供应商不得在“国家企业信用信息公示系统”网站（http://www.gsxt.gov.cn/index.html）中列入严重违法失信名单（黑名单）信息、供应商不得为“信用中国”网站(www.creditchina.gov.cn)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pPr>
        <w:pStyle w:val="null3"/>
      </w:pPr>
      <w:r>
        <w:rPr>
          <w:rFonts w:ascii="仿宋_GB2312" w:hAnsi="仿宋_GB2312" w:cs="仿宋_GB2312" w:eastAsia="仿宋_GB2312"/>
        </w:rPr>
        <w:t>9、联合体投标：本项目不接受联合体投标。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陕西省西安市鄠邑区草堂路72号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西安市鄠邑区残疾人联合会经办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13630250348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西安曲江新区雁南五路曲江影视大厦19层 1901室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029-85495286 转 8009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关于印发《招标代理服务收费管理暂行办法》的通知（计价格[2002]1980号）、国家发展改革委《关于降低部分建设项目收费标准规范收费行为等有关问题的通知》（发改价格[2011]534号）”规定收费标准收取。结算时以项目成交价为基数，按照合同签订收取比例计算招标代理服务费，代理费不足3000元的，按3000元收取。 招标代理服务费收款账户信息： 招标代理机构开户名称：嘉翔项目管理有限公司 开户行名称：中国建设银行股份有限公司西安八里村支行 账号：61050172370000000288 转账附言：JXZB2025-003代理服务费 注：成交人支付招标代理服务费后，请将转账凭证、单位开票信息、发票收件人地址信息发至3363927373@qq.com，如有疑问，可致电029-85495286 转 8009。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西安市鄠邑区残疾人联合会</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西安市鄠邑区残疾人联合会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质量要求：达到国家相关规范、标准及采购人考核要求。 按照磋商文件要求及有关规定的要求执行；在实施过程中，如果国家或有关部门颁布了新的技术标准或规范，则供应商应采用新的标准或规范进行实施，供应商提出验收申请之日起10日内组织验收，自行验收。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联系电话：029-85495286 转 8009</w:t>
      </w:r>
    </w:p>
    <w:p>
      <w:pPr>
        <w:pStyle w:val="null3"/>
      </w:pPr>
      <w:r>
        <w:rPr>
          <w:rFonts w:ascii="仿宋_GB2312" w:hAnsi="仿宋_GB2312" w:cs="仿宋_GB2312" w:eastAsia="仿宋_GB2312"/>
        </w:rPr>
        <w:t>地址：西安曲江新区雁南五路曲江影视大厦 19 层 1901 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鄠邑区2025年残疾人居家安养服务项目：以社区（村）和社会服务机构为单位，建立社会化服务体系，采取定期上门、计时服务等形式，为分散居住在家、不适宜或不愿意到机构中的残疾人提供生活照料、康复养护、心理疏导等居家生活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325,000.00</w:t>
      </w:r>
    </w:p>
    <w:p>
      <w:pPr>
        <w:pStyle w:val="null3"/>
      </w:pPr>
      <w:r>
        <w:rPr>
          <w:rFonts w:ascii="仿宋_GB2312" w:hAnsi="仿宋_GB2312" w:cs="仿宋_GB2312" w:eastAsia="仿宋_GB2312"/>
        </w:rPr>
        <w:t>采购包最高限价（元）: 325,000.00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根据残疾人需求，以定期上门服务为基本形式，为分散居住的残疾人提供生活照料、康复护理、精神慰藉和其他服务。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标的名称：根据残疾人需求，以定期上门服务为基本形式，为分散居住的残疾人提供生活照料、康复护理、精神慰藉和其他服务。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02"/>
              <w:jc w:val="both"/>
            </w:pPr>
            <w:r>
              <w:rPr>
                <w:rFonts w:ascii="仿宋_GB2312" w:hAnsi="仿宋_GB2312" w:cs="仿宋_GB2312" w:eastAsia="仿宋_GB2312"/>
                <w:b/>
              </w:rPr>
              <w:t>一、项目概况</w:t>
            </w:r>
          </w:p>
          <w:p>
            <w:pPr>
              <w:pStyle w:val="null3"/>
              <w:ind w:firstLine="400"/>
              <w:jc w:val="both"/>
            </w:pPr>
            <w:r>
              <w:rPr>
                <w:rFonts w:ascii="仿宋_GB2312" w:hAnsi="仿宋_GB2312" w:cs="仿宋_GB2312" w:eastAsia="仿宋_GB2312"/>
              </w:rPr>
              <w:t>鄠邑区</w:t>
            </w:r>
            <w:r>
              <w:rPr>
                <w:rFonts w:ascii="仿宋_GB2312" w:hAnsi="仿宋_GB2312" w:cs="仿宋_GB2312" w:eastAsia="仿宋_GB2312"/>
              </w:rPr>
              <w:t>2025</w:t>
            </w:r>
            <w:r>
              <w:rPr>
                <w:rFonts w:ascii="仿宋_GB2312" w:hAnsi="仿宋_GB2312" w:cs="仿宋_GB2312" w:eastAsia="仿宋_GB2312"/>
              </w:rPr>
              <w:t>年残疾人居家安养服务项目：以社区（村）和社会服务机构为单位，建立社会化服务体系，采取定期上门、计时服务等形式，为分散居住在家、不适宜或不愿意到机构中的残疾人提供生活照料、康复养护、心理疏导等居家生活服务。</w:t>
            </w:r>
          </w:p>
          <w:p>
            <w:pPr>
              <w:pStyle w:val="null3"/>
              <w:ind w:firstLine="402"/>
              <w:jc w:val="both"/>
            </w:pPr>
            <w:r>
              <w:rPr>
                <w:rFonts w:ascii="仿宋_GB2312" w:hAnsi="仿宋_GB2312" w:cs="仿宋_GB2312" w:eastAsia="仿宋_GB2312"/>
                <w:b/>
              </w:rPr>
              <w:t>二、服务内容</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、服务人数及服务频率要求：</w:t>
            </w:r>
          </w:p>
          <w:p>
            <w:pPr>
              <w:pStyle w:val="null3"/>
              <w:ind w:firstLine="400"/>
              <w:jc w:val="both"/>
            </w:pPr>
            <w:r>
              <w:rPr>
                <w:rFonts w:ascii="仿宋_GB2312" w:hAnsi="仿宋_GB2312" w:cs="仿宋_GB2312" w:eastAsia="仿宋_GB2312"/>
              </w:rPr>
              <w:t>本年度服务人数</w:t>
            </w:r>
            <w:r>
              <w:rPr>
                <w:rFonts w:ascii="仿宋_GB2312" w:hAnsi="仿宋_GB2312" w:cs="仿宋_GB2312" w:eastAsia="仿宋_GB2312"/>
              </w:rPr>
              <w:t>130</w:t>
            </w:r>
            <w:r>
              <w:rPr>
                <w:rFonts w:ascii="仿宋_GB2312" w:hAnsi="仿宋_GB2312" w:cs="仿宋_GB2312" w:eastAsia="仿宋_GB2312"/>
              </w:rPr>
              <w:t>人；要求每人每月服务不少于</w:t>
            </w:r>
            <w:r>
              <w:rPr>
                <w:rFonts w:ascii="仿宋_GB2312" w:hAnsi="仿宋_GB2312" w:cs="仿宋_GB2312" w:eastAsia="仿宋_GB2312"/>
              </w:rPr>
              <w:t>8</w:t>
            </w:r>
            <w:r>
              <w:rPr>
                <w:rFonts w:ascii="仿宋_GB2312" w:hAnsi="仿宋_GB2312" w:cs="仿宋_GB2312" w:eastAsia="仿宋_GB2312"/>
              </w:rPr>
              <w:t>个小时，每人次购买标准不高于</w:t>
            </w:r>
            <w:r>
              <w:rPr>
                <w:rFonts w:ascii="仿宋_GB2312" w:hAnsi="仿宋_GB2312" w:cs="仿宋_GB2312" w:eastAsia="仿宋_GB2312"/>
              </w:rPr>
              <w:t>2500</w:t>
            </w:r>
            <w:r>
              <w:rPr>
                <w:rFonts w:ascii="仿宋_GB2312" w:hAnsi="仿宋_GB2312" w:cs="仿宋_GB2312" w:eastAsia="仿宋_GB2312"/>
              </w:rPr>
              <w:t>元。</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、服务对象：</w:t>
            </w:r>
          </w:p>
          <w:p>
            <w:pPr>
              <w:pStyle w:val="null3"/>
              <w:ind w:firstLine="400"/>
              <w:jc w:val="both"/>
            </w:pPr>
            <w:r>
              <w:rPr>
                <w:rFonts w:ascii="仿宋_GB2312" w:hAnsi="仿宋_GB2312" w:cs="仿宋_GB2312" w:eastAsia="仿宋_GB2312"/>
              </w:rPr>
              <w:t>具有西安市鄠邑区户籍、年龄</w:t>
            </w:r>
            <w:r>
              <w:rPr>
                <w:rFonts w:ascii="仿宋_GB2312" w:hAnsi="仿宋_GB2312" w:cs="仿宋_GB2312" w:eastAsia="仿宋_GB2312"/>
              </w:rPr>
              <w:t>16-59(</w:t>
            </w:r>
            <w:r>
              <w:rPr>
                <w:rFonts w:ascii="仿宋_GB2312" w:hAnsi="仿宋_GB2312" w:cs="仿宋_GB2312" w:eastAsia="仿宋_GB2312"/>
              </w:rPr>
              <w:t>＜</w:t>
            </w:r>
            <w:r>
              <w:rPr>
                <w:rFonts w:ascii="仿宋_GB2312" w:hAnsi="仿宋_GB2312" w:cs="仿宋_GB2312" w:eastAsia="仿宋_GB2312"/>
              </w:rPr>
              <w:t>60)</w:t>
            </w:r>
            <w:r>
              <w:rPr>
                <w:rFonts w:ascii="仿宋_GB2312" w:hAnsi="仿宋_GB2312" w:cs="仿宋_GB2312" w:eastAsia="仿宋_GB2312"/>
              </w:rPr>
              <w:t>周岁持中华人民共和国残疾人证，有托养服务需求的智力残疾人、稳定期的精神残疾人、重度肢体残疾人以及同时存在智力或精神残疾的多重残疾人。纳入特困人员救助供养条件的残疾人不作为托养服务对象。</w:t>
            </w:r>
          </w:p>
          <w:p>
            <w:pPr>
              <w:pStyle w:val="null3"/>
              <w:ind w:firstLine="400"/>
              <w:jc w:val="both"/>
            </w:pPr>
            <w:r>
              <w:rPr>
                <w:rFonts w:ascii="仿宋_GB2312" w:hAnsi="仿宋_GB2312" w:cs="仿宋_GB2312" w:eastAsia="仿宋_GB2312"/>
              </w:rPr>
              <w:t>3</w:t>
            </w:r>
            <w:r>
              <w:rPr>
                <w:rFonts w:ascii="仿宋_GB2312" w:hAnsi="仿宋_GB2312" w:cs="仿宋_GB2312" w:eastAsia="仿宋_GB2312"/>
              </w:rPr>
              <w:t>、服务内容：</w:t>
            </w:r>
          </w:p>
          <w:p>
            <w:pPr>
              <w:pStyle w:val="null3"/>
              <w:ind w:firstLine="400"/>
              <w:jc w:val="both"/>
            </w:pPr>
            <w:r>
              <w:rPr>
                <w:rFonts w:ascii="仿宋_GB2312" w:hAnsi="仿宋_GB2312" w:cs="仿宋_GB2312" w:eastAsia="仿宋_GB2312"/>
              </w:rPr>
              <w:t>3.1</w:t>
            </w:r>
            <w:r>
              <w:rPr>
                <w:rFonts w:ascii="仿宋_GB2312" w:hAnsi="仿宋_GB2312" w:cs="仿宋_GB2312" w:eastAsia="仿宋_GB2312"/>
              </w:rPr>
              <w:t>（生活照料和护理）按照服务对象或监护人的要求，提供以下服务：</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）协助服务对象整理家庭环境卫生；</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）协助服务对象整理个人卫生；</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）上门送餐或在服务对象家中协助准备膳食，有需要的可根据情况提供帮助进食服务；</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）协助办理家庭日常事务；</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）根据医嘱同意，可陪同在服务对象居住附近安全合理的地区进行户外活动；</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）其他合法、安全并经所在服务机构批准同意提供的服务。</w:t>
            </w:r>
          </w:p>
          <w:p>
            <w:pPr>
              <w:pStyle w:val="null3"/>
              <w:ind w:firstLine="400"/>
              <w:jc w:val="both"/>
            </w:pPr>
            <w:r>
              <w:rPr>
                <w:rFonts w:ascii="仿宋_GB2312" w:hAnsi="仿宋_GB2312" w:cs="仿宋_GB2312" w:eastAsia="仿宋_GB2312"/>
              </w:rPr>
              <w:t>3.2</w:t>
            </w:r>
            <w:r>
              <w:rPr>
                <w:rFonts w:ascii="仿宋_GB2312" w:hAnsi="仿宋_GB2312" w:cs="仿宋_GB2312" w:eastAsia="仿宋_GB2312"/>
              </w:rPr>
              <w:t>（社会适应能力辅导和运动功能训练）按照服务对象或监护人的要求，提供以下服务：</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）指导并协助有需要的服务对象或其监护人正确使用配发的康复、保健仪器和辅助器械；</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）协助有需要的服务对象通过网络、电视、广播、报刊等多种方式了解新闻和文化知识；</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）经常与服务对象进行交流，了解其心理特点，有需要进行心理干预的及时向其本人或监护人提出建议；</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）其他合法、安全、力所能及并经所在服务机构批准同意提供的服务。</w:t>
            </w:r>
          </w:p>
          <w:p>
            <w:pPr>
              <w:pStyle w:val="null3"/>
              <w:ind w:firstLine="402"/>
              <w:jc w:val="both"/>
            </w:pPr>
            <w:r>
              <w:rPr>
                <w:rFonts w:ascii="仿宋_GB2312" w:hAnsi="仿宋_GB2312" w:cs="仿宋_GB2312" w:eastAsia="仿宋_GB2312"/>
                <w:b/>
              </w:rPr>
              <w:t>三、服务要求</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）场地要求：具有与其业务范围相适应的经营场所，具备提供残疾人居家托养服务的功能。办公场所应通讯设备齐全，通讯畅通，满足移动服务信息化系统的运行需求；</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）人员配备：配备能够从事残疾人护理和普通家务劳动的专业服务人员，其数量以满足需要并能提供规范所规定的生活照料和护理、生活自理能力训练服务为原则；配备至少</w:t>
            </w:r>
            <w:r>
              <w:rPr>
                <w:rFonts w:ascii="仿宋_GB2312" w:hAnsi="仿宋_GB2312" w:cs="仿宋_GB2312" w:eastAsia="仿宋_GB2312"/>
              </w:rPr>
              <w:t>1</w:t>
            </w:r>
            <w:r>
              <w:rPr>
                <w:rFonts w:ascii="仿宋_GB2312" w:hAnsi="仿宋_GB2312" w:cs="仿宋_GB2312" w:eastAsia="仿宋_GB2312"/>
              </w:rPr>
              <w:t>名能够从事心理咨询和疏导的专业服务人员或是社会工作者；配备康复人员，其数量以满足需要并能提供规范所规定的运动功能训练服务为原则</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）制度管理：机构应当财务制度健全，凭证、账簿符合财务规定；有项目独立台账</w:t>
            </w:r>
            <w:r>
              <w:rPr>
                <w:rFonts w:ascii="仿宋_GB2312" w:hAnsi="仿宋_GB2312" w:cs="仿宋_GB2312" w:eastAsia="仿宋_GB2312"/>
                <w:sz w:val="21"/>
              </w:rPr>
              <w:t>,</w:t>
            </w:r>
            <w:r>
              <w:rPr>
                <w:rFonts w:ascii="仿宋_GB2312" w:hAnsi="仿宋_GB2312" w:cs="仿宋_GB2312" w:eastAsia="仿宋_GB2312"/>
                <w:sz w:val="21"/>
              </w:rPr>
              <w:t>专款专用，有项目经费收支明细清单；有健全的接待、服务、投诉处理机制和服务回访等制度；有档案管理和固定资产管理等制度；有日常安全管理、突发事件处理预案制度；建立服务对象个人档案，包括个人基本情况、托养服务协议书、健康情况、医疗记录、综合评估报告、个别化托养服务方案、服务项目实施情况等基本内容；采取动态管理，建立服务质量跟踪随访登记、服务满意率等档案；应当配合相关部门对资金使用情况进行监督检查与绩效评价；机构应当按照合同约定提 供服务，涉及收费的项目，应当向服务对象</w:t>
            </w:r>
            <w:r>
              <w:rPr>
                <w:rFonts w:ascii="仿宋_GB2312" w:hAnsi="仿宋_GB2312" w:cs="仿宋_GB2312" w:eastAsia="仿宋_GB2312"/>
                <w:sz w:val="21"/>
              </w:rPr>
              <w:t>(</w:t>
            </w:r>
            <w:r>
              <w:rPr>
                <w:rFonts w:ascii="仿宋_GB2312" w:hAnsi="仿宋_GB2312" w:cs="仿宋_GB2312" w:eastAsia="仿宋_GB2312"/>
                <w:sz w:val="21"/>
              </w:rPr>
              <w:t>或监护人</w:t>
            </w:r>
            <w:r>
              <w:rPr>
                <w:rFonts w:ascii="仿宋_GB2312" w:hAnsi="仿宋_GB2312" w:cs="仿宋_GB2312" w:eastAsia="仿宋_GB2312"/>
                <w:sz w:val="21"/>
              </w:rPr>
              <w:t>)</w:t>
            </w:r>
            <w:r>
              <w:rPr>
                <w:rFonts w:ascii="仿宋_GB2312" w:hAnsi="仿宋_GB2312" w:cs="仿宋_GB2312" w:eastAsia="仿宋_GB2312"/>
                <w:sz w:val="21"/>
              </w:rPr>
              <w:t>告知收费标准以及费用支付方式，并将相关收费项目、依据和标准等内容予以公示，不得将服务项目转包给其他主体。</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满足项目最低需要。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满足项目最低需要。</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（1）业绩：供应商须提供2022年1月1日至今类似项目业绩。 （2）违约责任： 1.按《中华人民共和国民法典》中的相关条款执行。 2.本合同履行期间，如中标单位未能按照本合同约定完成相应目标要求，采购人有权要求中标单位支付违约金，同时采购人有权视中标单位违约情况决定是否单方解除本合同，并要求中标单位赔偿采购人损失。 （3）结算方式： 本项目分两次付款，至少每半年与服务机构结算一次，第一次付款为服务期过半，达到付款条件起 30日内，支付合同总金额的 50.00%。 服务期结束后，项目验收合格且绩效评价全部结束后，达到付款条件起 30 日内，支付合同总金额的 50.00%。 注：合同价款包括但不限于人员工资、保险、服务费、管理费以及增值税等税费等完成本次采购所要求的服务且验收合格的所有费用。 （4）项目目标：帮助残疾人提高生活质量，接受服务残疾人及家属满意度达80%以上。服务全部完成后，由第三方评估机构对全部服务情况进行全面绩效评估，全部服务达到各项要求即为合格。</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采购人指定地点（残疾人家庭(上门服务)）</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质量要求：达到国家相关规范、标准及采购人考核要求。 按照磋商文件要求及有关规定的要求执行；在实施过程中，如果国家或有关部门颁布了新的技术标准或规范，则供应商应采用新的标准或规范进行实施，供应商提出验收申请之日起10日内组织验收，自行验收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本项目分两次付款，至少每半年与服务机构结算一次，第一次付款为服务期过半</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服务期结束后，项目验收合格且绩效评价全部结束后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合同金额即中标价，合同价格为含税价，乙方提供服务所发生的一切费用（包括人工费、设备费、管理费、利润、税金、风险及完成工作准备阶段、实施阶段、完成本项目所需的全部费用）等都已包含于合同价款中。在提供服务的过程中的任何遗漏，均由成交供应商免费提供，采购人将不再支付任何费用。 二、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2.评审过程中，除符合第1条条款规定情形外，若出现合格供应商少于3家时，采购人应依法重新组织采购活动。 四、成交供应商在领取成交通知书时提供纸质版投标文件两套，应通过专用制作软件直接打印，确保与电子投标文件保持一致，不允许修改和补充。提交地点：西安曲江新区雁南五路曲江影视大厦 19 层 1901 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财务状况报表</w:t>
            </w:r>
          </w:p>
        </w:tc>
        <w:tc>
          <w:tcPr>
            <w:tcW w:type="dxa" w:w="3322"/>
          </w:tcPr>
          <w:p>
            <w:pPr>
              <w:pStyle w:val="null3"/>
            </w:pPr>
            <w:r>
              <w:rPr>
                <w:rFonts w:ascii="仿宋_GB2312" w:hAnsi="仿宋_GB2312" w:cs="仿宋_GB2312" w:eastAsia="仿宋_GB2312"/>
              </w:rPr>
              <w:t>提供2023年度或2024年度经审计的财务报告，或提交自2024年9月1日以来其基本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提供供应商2024年至今任意一个月已缴纳的完税凭证或税务机关开具的完税证明（任意税种），依法免税的单位应提供相关证明材料；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提供供应商2024年至今任意一个月的社会保障资金缴存单据或社保机构开具的社会保险参保缴费情况证明。依法不需要缴纳社会保障资金的供应商应提供相关证明文件；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法定代表人授权书及被授权人身份证(法定代表人直接参加投标，须提交其身份证复印件及法定代表人身份证明)；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供应商不得在“国家企业信用信息公示系统”网站（http://www.gsxt.gov.cn/index.html）中列入严重违法失信名单（黑名单）信息、供应商不得为“信用中国”网站(www.creditchina.gov.cn)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响应文件上法定代表人或其委托代理人的签名齐全并加盖单位章</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只能有一个有效报价，不得提交选择性报价，且报价不超过预算金额或最高限价或磋商小组认为低于成本价的报价。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响应情况</w:t>
            </w:r>
          </w:p>
        </w:tc>
        <w:tc>
          <w:tcPr>
            <w:tcW w:type="dxa" w:w="3322"/>
          </w:tcPr>
          <w:p>
            <w:pPr>
              <w:pStyle w:val="null3"/>
            </w:pPr>
            <w:r>
              <w:rPr>
                <w:rFonts w:ascii="仿宋_GB2312" w:hAnsi="仿宋_GB2312" w:cs="仿宋_GB2312" w:eastAsia="仿宋_GB2312"/>
              </w:rPr>
              <w:t>应满足竞争性磋商文件要求，响应文件未含有采购人不能接受的附加条件，且无其他无效标的情形。</w:t>
            </w:r>
          </w:p>
        </w:tc>
        <w:tc>
          <w:tcPr>
            <w:tcW w:type="dxa" w:w="1661"/>
          </w:tcPr>
          <w:p>
            <w:pPr>
              <w:pStyle w:val="null3"/>
            </w:pPr>
            <w:r>
              <w:rPr>
                <w:rFonts w:ascii="仿宋_GB2312" w:hAnsi="仿宋_GB2312" w:cs="仿宋_GB2312" w:eastAsia="仿宋_GB2312"/>
              </w:rPr>
              <w:t>服务内容及服务邀请应答表 商务应答表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针对本项目提出适用于本项目的服务方案，方案包括：①项目背景以及需求分析②生活照料和护理类服务方案③社会适应能力辅导和运动功能训练服务方案④工作计划。 二、评审标准 1、完整性：方案必须全面，对评审内容中的各项要求有详细描述； 2、可实施性：切合本项目实际情况，提出步骤清晰、合理的方案； 3、针对性：方案能够紧扣项目实际情况，内容科学合理。 三、赋分标准（满分30分） ①项目背景以及需求分析：每完全满足一个评审标准得2分，满分6分； ②生活照料和护理类服务方案:每完全满足一个评审标准得3分，满分9分； ③社会适应能力辅导和运动功能训练服务方案:每完全满足一个评审标准得3分，满分9分； ④工作计划:每完全满足一个评审标准得2分，满分6分。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管理制度方案</w:t>
            </w:r>
          </w:p>
        </w:tc>
        <w:tc>
          <w:tcPr>
            <w:tcW w:type="dxa" w:w="2492"/>
          </w:tcPr>
          <w:p>
            <w:pPr>
              <w:pStyle w:val="null3"/>
            </w:pPr>
            <w:r>
              <w:rPr>
                <w:rFonts w:ascii="仿宋_GB2312" w:hAnsi="仿宋_GB2312" w:cs="仿宋_GB2312" w:eastAsia="仿宋_GB2312"/>
              </w:rPr>
              <w:t>一、评审内容 针对供应商提供的管理制度方案，进行评审，评审内容包括①财务管理制度②接待、服务、投诉及回访、服务质量、随访登记、满意度调查等管理制度③档案管理制度④安全管理制度 二、评审标准 1、完整性：方案必须全面，对评审内容中的各项要求有详细描述； 2、可实施性：切合本项目实际情况，提出步骤清晰、合理的方案； 3、针对性：方案能够紧扣项目实际情况，内容科学合理。三、赋分标准（满分18分） ①财务管理制度：每完全满足一个评审标准得1分，满分3分；②接待、服务、投诉及回访、服务质量、随访登记、满意度调查等管理制度：每完全满足一个评审标准得2分，满分6分；③档案管理制度：每完全满足一个评审标准得2分，满分6分；④安全管理制度：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根据供应商提供的针对本项目人员配备方案（包括但不限于：1.人员分工明确,岗位设置合理,考虑全面；2.服务人员信守职业道德,遵纪守法,具有专业知识，熟悉残疾人居家服务程序和规范要求,能为残疾人提供康复训练指导，供应商能定期组织残疾人居家服务培训；3.供应商内部有完善的组织架构,人员组织充分、合理；4.工作人员涵盖医学、护理学、心理学、营养学、康复学等对本项目有助力的其他专业人员（提供证书或其他证明文件）按其响应程度进行综合评审。 ①所提供的方案内容完整、考虑细致、科学，实行性强，计12-8分； ②所提供的方案内容有1到2项欠缺、较薄弱的计8-4分； ③方案内容有2项以上严重欠缺、薄弱的计4-1分； ④未提供方案不计分。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保证措施</w:t>
            </w:r>
          </w:p>
        </w:tc>
        <w:tc>
          <w:tcPr>
            <w:tcW w:type="dxa" w:w="2492"/>
          </w:tcPr>
          <w:p>
            <w:pPr>
              <w:pStyle w:val="null3"/>
            </w:pPr>
            <w:r>
              <w:rPr>
                <w:rFonts w:ascii="仿宋_GB2312" w:hAnsi="仿宋_GB2312" w:cs="仿宋_GB2312" w:eastAsia="仿宋_GB2312"/>
              </w:rPr>
              <w:t>一、评审内容 供应商针对本项目应具有保证措施，内容包括：①服务进度保证措施②服务质量保证措施。 二、评审标准 1、完整性：方案必须全面，对评审内容中的各项要求有详细描述； 2、可实施性：切合本项目实际情况，提出步骤清晰、合理的方案； 3、针对性：方案能够紧扣项目实际情况，内容科学合理。 三、赋分标准（满分12分） ①服务进度保证措施：每完全满足一个评审标准得2分，满分6分； ②服务质量保证措施:每完全满足一个评审标准得2分，满分6分；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应急处理预案及其他服务方案</w:t>
            </w:r>
          </w:p>
        </w:tc>
        <w:tc>
          <w:tcPr>
            <w:tcW w:type="dxa" w:w="2492"/>
          </w:tcPr>
          <w:p>
            <w:pPr>
              <w:pStyle w:val="null3"/>
            </w:pPr>
            <w:r>
              <w:rPr>
                <w:rFonts w:ascii="仿宋_GB2312" w:hAnsi="仿宋_GB2312" w:cs="仿宋_GB2312" w:eastAsia="仿宋_GB2312"/>
              </w:rPr>
              <w:t>一、评审内容 供应商应针对本项目具有应急处理预案及其他服务方案，应急处理预案内容包括：①服务过程发生应急情况的处理预案②其他合法、安全、力所能及提供的服务。 二、评审标准 1、完整性：方案必须全面，对评审内容中的各项要求有详细描述； 2、可实施性：切合本项目实际情况，提出步骤清晰、合理的方案； 3、针对性：方案能够紧扣项目实际情况，内容科学合理。 三、赋分标准（满分12分） ①服务过程发生应急情况的处理预案：每完全满足一个评审标准得2分，满分6分； ②其他合法、安全、力所能及提供的服务:每完全满足一个评审标准得2分，满分6分；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供应商提供自2022年1月1日起至今类似项目业绩，业绩以合同为准。（时间以签订的合同日期为准）,每份计2分,最高得6分。注：合同内容须清晰可辨认，否则视为无效合同</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w:t>
            </w:r>
          </w:p>
          <w:p>
            <w:pPr>
              <w:pStyle w:val="null3"/>
            </w:pPr>
            <w:r>
              <w:rPr>
                <w:rFonts w:ascii="仿宋_GB2312" w:hAnsi="仿宋_GB2312" w:cs="仿宋_GB2312" w:eastAsia="仿宋_GB2312"/>
              </w:rPr>
              <w:t>其他</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 按照下列公式计算：投标报价得分 =（评审基准价/磋商报价）×价格权值×10分。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磋商评审价=磋商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详见附件：项目服务方案</w:t>
      </w:r>
    </w:p>
    <w:p>
      <w:pPr>
        <w:pStyle w:val="null3"/>
        <w:ind w:firstLine="960"/>
      </w:pPr>
      <w:r>
        <w:rPr>
          <w:rFonts w:ascii="仿宋_GB2312" w:hAnsi="仿宋_GB2312" w:cs="仿宋_GB2312" w:eastAsia="仿宋_GB2312"/>
        </w:rPr>
        <w:t>详见附件：类似项目业绩</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详见附件：其他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