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版本号：YYZB-2025-00520250407001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西安市鄠邑区青年乡创客服务中心运行服务采购项目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YYZB-2025-005</w:t>
      </w:r>
      <w:r>
        <w:br/>
      </w:r>
      <w:r>
        <w:br/>
      </w:r>
      <w:r>
        <w:br/>
      </w:r>
    </w:p>
    <w:p>
      <w:pPr>
        <w:pStyle w:val="null3"/>
        <w:jc w:val="center"/>
        <w:outlineLvl w:val="5"/>
      </w:pPr>
      <w:r>
        <w:rPr>
          <w:rFonts w:ascii="仿宋_GB2312" w:hAnsi="仿宋_GB2312" w:cs="仿宋_GB2312" w:eastAsia="仿宋_GB2312"/>
          <w:sz w:val="15"/>
          <w:b/>
        </w:rPr>
        <w:t>西安市鄠邑区农业农村局</w:t>
      </w:r>
    </w:p>
    <w:p>
      <w:pPr>
        <w:pStyle w:val="null3"/>
        <w:jc w:val="center"/>
        <w:outlineLvl w:val="5"/>
      </w:pPr>
      <w:r>
        <w:rPr>
          <w:rFonts w:ascii="仿宋_GB2312" w:hAnsi="仿宋_GB2312" w:cs="仿宋_GB2312" w:eastAsia="仿宋_GB2312"/>
          <w:sz w:val="15"/>
          <w:b/>
        </w:rPr>
        <w:t>耀阳项目管理（陕西）有限公司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2025年04月07日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耀阳项目管理（陕西）有限公司</w:t>
      </w:r>
      <w:r>
        <w:rPr>
          <w:rFonts w:ascii="仿宋_GB2312" w:hAnsi="仿宋_GB2312" w:cs="仿宋_GB2312" w:eastAsia="仿宋_GB2312"/>
        </w:rPr>
        <w:t>（以下简称“代理机构”）受</w:t>
      </w:r>
      <w:r>
        <w:rPr>
          <w:rFonts w:ascii="仿宋_GB2312" w:hAnsi="仿宋_GB2312" w:cs="仿宋_GB2312" w:eastAsia="仿宋_GB2312"/>
        </w:rPr>
        <w:t>西安市鄠邑区农业农村局</w:t>
      </w:r>
      <w:r>
        <w:rPr>
          <w:rFonts w:ascii="仿宋_GB2312" w:hAnsi="仿宋_GB2312" w:cs="仿宋_GB2312" w:eastAsia="仿宋_GB2312"/>
        </w:rPr>
        <w:t>委托，拟对</w:t>
      </w:r>
      <w:r>
        <w:rPr>
          <w:rFonts w:ascii="仿宋_GB2312" w:hAnsi="仿宋_GB2312" w:cs="仿宋_GB2312" w:eastAsia="仿宋_GB2312"/>
        </w:rPr>
        <w:t>西安市鄠邑区青年乡创客服务中心运行服务采购项目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YYZB-2025-005</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西安市鄠邑区青年乡创客服务中心运行服务采购项目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西安市鄠邑区青年乡创客服务中心运行服务采购项目</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采购包1（西安市鄠邑区青年乡创客服务中心运行服务采购项目）：属于专门面向中小企业采购。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主要负责人）委托授权书/身份证明：法定代表人参加投标的，须出具法定代表人身份证明书及身份证复印件。法定代表人授权委托代理人参加投标的，须出具法定代表人授权委托书及委托代理人身份证复印件；</w:t>
      </w:r>
    </w:p>
    <w:p>
      <w:pPr>
        <w:pStyle w:val="null3"/>
      </w:pPr>
      <w:r>
        <w:rPr>
          <w:rFonts w:ascii="仿宋_GB2312" w:hAnsi="仿宋_GB2312" w:cs="仿宋_GB2312" w:eastAsia="仿宋_GB2312"/>
        </w:rPr>
        <w:t>2、营业执照等主体资格证明文件：提供统一社会信用代码的营业执照或其他组织 经营的合法凭证或自然人的提供身份证明文件</w:t>
      </w:r>
    </w:p>
    <w:p>
      <w:pPr>
        <w:pStyle w:val="null3"/>
      </w:pPr>
      <w:r>
        <w:rPr>
          <w:rFonts w:ascii="仿宋_GB2312" w:hAnsi="仿宋_GB2312" w:cs="仿宋_GB2312" w:eastAsia="仿宋_GB2312"/>
        </w:rPr>
        <w:t>3、财务状况报告：提供具有财务审计资质单位出具的2023年度财 务报告或磋商前六个月内其基本账户银行出具 的资信证明或财政部门认可的政府采购专业担 保机构出具的担保函，以上形式的证明资料提 供任何一种即可。</w:t>
      </w:r>
    </w:p>
    <w:p>
      <w:pPr>
        <w:pStyle w:val="null3"/>
      </w:pPr>
      <w:r>
        <w:rPr>
          <w:rFonts w:ascii="仿宋_GB2312" w:hAnsi="仿宋_GB2312" w:cs="仿宋_GB2312" w:eastAsia="仿宋_GB2312"/>
        </w:rPr>
        <w:t>4、社保缴纳证明：提供投标截止之日前近六个月内至少一个月的社会保障资金缴存单据或社保机构开具的社会保险参保缴费情况证明或承诺书（以上三种形式的资料提供任何一种即可），依法不需要缴纳社会保障资金的单位应提供相关证明材料；</w:t>
      </w:r>
    </w:p>
    <w:p>
      <w:pPr>
        <w:pStyle w:val="null3"/>
      </w:pPr>
      <w:r>
        <w:rPr>
          <w:rFonts w:ascii="仿宋_GB2312" w:hAnsi="仿宋_GB2312" w:cs="仿宋_GB2312" w:eastAsia="仿宋_GB2312"/>
        </w:rPr>
        <w:t>5、税收缴纳证明：提供投标截止之日前近六个月内至少一个月的纳税证明或完税证明（增值税，印花税，城市维护建设费，企业所得税等一种或多种税种）或承诺书（以上三种形式的资料提供任何一种即可），依法免税的单位应提供相关证明材料；</w:t>
      </w:r>
    </w:p>
    <w:p>
      <w:pPr>
        <w:pStyle w:val="null3"/>
      </w:pPr>
      <w:r>
        <w:rPr>
          <w:rFonts w:ascii="仿宋_GB2312" w:hAnsi="仿宋_GB2312" w:cs="仿宋_GB2312" w:eastAsia="仿宋_GB2312"/>
        </w:rPr>
        <w:t>6、具备履行合同所必须的设备和专业技术能力：提供具有履行本合同所必需的设备和专业技术能力的声明；</w:t>
      </w:r>
    </w:p>
    <w:p>
      <w:pPr>
        <w:pStyle w:val="null3"/>
      </w:pPr>
      <w:r>
        <w:rPr>
          <w:rFonts w:ascii="仿宋_GB2312" w:hAnsi="仿宋_GB2312" w:cs="仿宋_GB2312" w:eastAsia="仿宋_GB2312"/>
        </w:rPr>
        <w:t>7、信用记录：经查，供应商未被列入“信用中国”网站记录的“ 失信被执行人”或“重大税收违法案件当事人”名 单；不处于“中国政府采购网”记录的“政府采购 严重违法失信行为记录名单”中的禁止参加政府 采购活动期间。</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西安市鄠邑区农业农村局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西安市鄠邑区东街７号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西安市鄠邑区农业局经办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13636819776</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耀阳项目管理（陕西）有限公司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陕西省西安市雁塔区科技六路高新时代广场B座706</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孟凡博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02981325677</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鄠邑区政府采购管理股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李清维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84882872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采购包1：2,000,000.00元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采购包1：2,000,000.00元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代理服务费收费标准：参考国家发展计划委员会计价格[2002]1980 号、发改办价格［2003］857号规定，依据发改价格[2015]299 号文件规定标准计取该项目的招标代理服务费，由中标人在领取中标通知书时向采购代理机构一次性支付。</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西安市鄠邑区农业农村局</w:t>
      </w:r>
      <w:r>
        <w:rPr>
          <w:rFonts w:ascii="仿宋_GB2312" w:hAnsi="仿宋_GB2312" w:cs="仿宋_GB2312" w:eastAsia="仿宋_GB2312"/>
        </w:rPr>
        <w:t>和</w:t>
      </w:r>
      <w:r>
        <w:rPr>
          <w:rFonts w:ascii="仿宋_GB2312" w:hAnsi="仿宋_GB2312" w:cs="仿宋_GB2312" w:eastAsia="仿宋_GB2312"/>
        </w:rPr>
        <w:t>耀阳项目管理（陕西）有限公司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耀阳项目管理（陕西）有限公司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西安市鄠邑区农业农村局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耀阳项目管理（陕西）有限公司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按国家有关规定以及采购文件的质量要求和技术指标、供应商的响应文件及承诺与本合同约定标准进行验收。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耀阳项目管理（陕西）有限公司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耀阳项目管理（陕西）有限公司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耀阳项目管理（陕西）有限公司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西安市鄠邑区青年乡创客服务中心运行服务采购项目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2,000,000.00</w:t>
      </w:r>
    </w:p>
    <w:p>
      <w:pPr>
        <w:pStyle w:val="null3"/>
      </w:pPr>
      <w:r>
        <w:rPr>
          <w:rFonts w:ascii="仿宋_GB2312" w:hAnsi="仿宋_GB2312" w:cs="仿宋_GB2312" w:eastAsia="仿宋_GB2312"/>
        </w:rPr>
        <w:t>采购包最高限价（元）: 2,000,000.00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西安市鄠邑区青年乡创客服务中心运行服务采购项目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标的名称：西安市鄠邑区青年乡创客服务中心运行服务采购项目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tbl>
            <w:tblPr>
              <w:tblInd w:type="dxa" w:w="90"/>
              <w:tblBorders>
                <w:top w:val="none" w:color="000000" w:sz="4"/>
                <w:left w:val="none" w:color="000000" w:sz="4"/>
                <w:bottom w:val="none" w:color="000000" w:sz="4"/>
                <w:right w:val="none" w:color="000000" w:sz="4"/>
                <w:insideH w:val="none"/>
                <w:insideV w:val="none"/>
              </w:tblBorders>
            </w:tblPr>
            <w:tblGrid>
              <w:gridCol w:w="276"/>
              <w:gridCol w:w="160"/>
              <w:gridCol w:w="1010"/>
              <w:gridCol w:w="406"/>
            </w:tblGrid>
            <w:tr>
              <w:tc>
                <w:tcPr>
                  <w:tcW w:type="dxa" w:w="2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名称</w:t>
                  </w:r>
                </w:p>
              </w:tc>
              <w:tc>
                <w:tcPr>
                  <w:tcW w:type="dxa" w:w="1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序号</w:t>
                  </w:r>
                </w:p>
              </w:tc>
              <w:tc>
                <w:tcPr>
                  <w:tcW w:type="dxa" w:w="10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计划验收清单</w:t>
                  </w:r>
                </w:p>
              </w:tc>
              <w:tc>
                <w:tcPr>
                  <w:tcW w:type="dxa" w:w="4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佐证资料清单</w:t>
                  </w:r>
                </w:p>
              </w:tc>
            </w:tr>
            <w:tr>
              <w:tc>
                <w:tcPr>
                  <w:tcW w:type="dxa" w:w="27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空间运营</w:t>
                  </w:r>
                </w:p>
              </w:tc>
              <w:tc>
                <w:tcPr>
                  <w:tcW w:type="dxa" w:w="16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1</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color w:val="000000"/>
                    </w:rPr>
                    <w:t>组建不少于</w:t>
                  </w:r>
                  <w:r>
                    <w:rPr>
                      <w:rFonts w:ascii="仿宋_GB2312" w:hAnsi="仿宋_GB2312" w:cs="仿宋_GB2312" w:eastAsia="仿宋_GB2312"/>
                      <w:sz w:val="28"/>
                      <w:color w:val="000000"/>
                    </w:rPr>
                    <w:t>4人的专业团队负责中心的决策、管理、日常运行工作，包括1名中心负责人和相关方面专员不少于3人。及时足额支付人员工资补贴，保障运行团队人员稳定。负责及时足额缴纳中心的水、电、气、网等运行费用，负责乡创客中心内外部的环境清扫保洁和内外部设施的日常维护维修。</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附乡创客链接服务中心人员结构情况，人员考勤表、人员工资支付明细、中心的水、电、气、网等运行费用及日常保洁、维护维修费用清单</w:t>
                  </w:r>
                </w:p>
              </w:tc>
            </w:tr>
            <w:tr>
              <w:tc>
                <w:tcPr>
                  <w:tcW w:type="dxa" w:w="276"/>
                  <w:vMerge/>
                  <w:tcBorders>
                    <w:top w:val="none" w:color="000000" w:sz="4"/>
                    <w:left w:val="single" w:color="000000" w:sz="4"/>
                    <w:bottom w:val="single" w:color="000000" w:sz="4"/>
                    <w:right w:val="single" w:color="000000" w:sz="4"/>
                  </w:tcBorders>
                </w:tcPr>
                <w:p/>
              </w:tc>
              <w:tc>
                <w:tcPr>
                  <w:tcW w:type="dxa" w:w="160"/>
                  <w:vMerge/>
                  <w:tcBorders>
                    <w:top w:val="none" w:color="000000" w:sz="4"/>
                    <w:left w:val="none" w:color="000000" w:sz="4"/>
                    <w:bottom w:val="single" w:color="000000" w:sz="4"/>
                    <w:right w:val="single" w:color="000000" w:sz="4"/>
                  </w:tcBorders>
                </w:tcP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color w:val="000000"/>
                    </w:rPr>
                    <w:t>负责根据需要足额采购中心办公用品、会议用品、小型设施设备等中心基本运行所需，保障中心日常办公费、会议费、小型接待等费用支出。负责支付中心建设成本</w:t>
                  </w:r>
                  <w:r>
                    <w:rPr>
                      <w:rFonts w:ascii="仿宋_GB2312" w:hAnsi="仿宋_GB2312" w:cs="仿宋_GB2312" w:eastAsia="仿宋_GB2312"/>
                      <w:sz w:val="28"/>
                      <w:color w:val="000000"/>
                    </w:rPr>
                    <w:t>28.5万元/年和村集体资产租金48400元/年。</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附采购办公用品、会议用品、小型设施设备等费用支出清单明细及支付中心建设成本及租金相关支付票据等</w:t>
                  </w:r>
                </w:p>
              </w:tc>
            </w:tr>
            <w:tr>
              <w:tc>
                <w:tcPr>
                  <w:tcW w:type="dxa" w:w="276"/>
                  <w:vMerge/>
                  <w:tcBorders>
                    <w:top w:val="none" w:color="000000" w:sz="4"/>
                    <w:left w:val="single" w:color="000000" w:sz="4"/>
                    <w:bottom w:val="single" w:color="000000" w:sz="4"/>
                    <w:right w:val="single" w:color="000000" w:sz="4"/>
                  </w:tcBorders>
                </w:tcPr>
                <w:p/>
              </w:tc>
              <w:tc>
                <w:tcPr>
                  <w:tcW w:type="dxa" w:w="160"/>
                  <w:vMerge/>
                  <w:tcBorders>
                    <w:top w:val="none" w:color="000000" w:sz="4"/>
                    <w:left w:val="none" w:color="000000" w:sz="4"/>
                    <w:bottom w:val="single" w:color="000000" w:sz="4"/>
                    <w:right w:val="single" w:color="000000" w:sz="4"/>
                  </w:tcBorders>
                </w:tcP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color w:val="000000"/>
                    </w:rPr>
                    <w:t>负责栗峪口村乡创客市集全年正常运行，优先用于拓展乡创客服务中心服务空间，有效承载乡村创业人员共享办公、乡创项目孵化培育，满足乡创客服务中心举办大型创客会议、讲座会务、产业路演、办公配套等需求。</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附栗峪口村乡创客市集日常运行、大型创客会议、讲座会务等相关图片资料</w:t>
                  </w:r>
                </w:p>
              </w:tc>
            </w:tr>
            <w:tr>
              <w:tc>
                <w:tcPr>
                  <w:tcW w:type="dxa" w:w="27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职能定位，发挥鄠邑乡创客服务中心</w:t>
                  </w:r>
                  <w:r>
                    <w:rPr>
                      <w:rFonts w:ascii="仿宋_GB2312" w:hAnsi="仿宋_GB2312" w:cs="仿宋_GB2312" w:eastAsia="仿宋_GB2312"/>
                      <w:sz w:val="28"/>
                      <w:b/>
                      <w:color w:val="000000"/>
                    </w:rPr>
                    <w:t xml:space="preserve">“六大中心”职能   </w:t>
                  </w:r>
                </w:p>
              </w:tc>
              <w:tc>
                <w:tcPr>
                  <w:tcW w:type="dxa" w:w="16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2</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 xml:space="preserve">                                                                                                                    </w:t>
                  </w:r>
                  <w:r>
                    <w:br/>
                  </w:r>
                  <w:r>
                    <w:rPr>
                      <w:rFonts w:ascii="仿宋_GB2312" w:hAnsi="仿宋_GB2312" w:cs="仿宋_GB2312" w:eastAsia="仿宋_GB2312"/>
                      <w:sz w:val="28"/>
                      <w:b/>
                      <w:color w:val="000000"/>
                    </w:rPr>
                    <w:t>（</w:t>
                  </w:r>
                  <w:r>
                    <w:rPr>
                      <w:rFonts w:ascii="仿宋_GB2312" w:hAnsi="仿宋_GB2312" w:cs="仿宋_GB2312" w:eastAsia="仿宋_GB2312"/>
                      <w:sz w:val="28"/>
                      <w:b/>
                      <w:color w:val="000000"/>
                    </w:rPr>
                    <w:t>1）乡村创客展示和流量中心：</w:t>
                  </w:r>
                  <w:r>
                    <w:rPr>
                      <w:rFonts w:ascii="仿宋_GB2312" w:hAnsi="仿宋_GB2312" w:cs="仿宋_GB2312" w:eastAsia="仿宋_GB2312"/>
                      <w:sz w:val="28"/>
                      <w:color w:val="000000"/>
                    </w:rPr>
                    <w:t>编制专业讲解案例、材料，通过音视频、展板等形式进行展示，讲好乡创故事、宣传乡创政策，吸引青年乡村创业者进入</w:t>
                  </w:r>
                  <w:r>
                    <w:rPr>
                      <w:rFonts w:ascii="仿宋_GB2312" w:hAnsi="仿宋_GB2312" w:cs="仿宋_GB2312" w:eastAsia="仿宋_GB2312"/>
                      <w:sz w:val="28"/>
                      <w:color w:val="000000"/>
                    </w:rPr>
                    <w:t>“乡创意向线索池”，成为有意向到鄠邑区乡村创业青年的导入窗口和流量分发中心；</w:t>
                  </w:r>
                </w:p>
              </w:tc>
              <w:tc>
                <w:tcPr>
                  <w:tcW w:type="dxa" w:w="4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附乡创客链接服务中心总体职责、组织架构、六大中心工作开展情况及活动资料</w:t>
                  </w:r>
                </w:p>
              </w:tc>
            </w:tr>
            <w:tr>
              <w:tc>
                <w:tcPr>
                  <w:tcW w:type="dxa" w:w="276"/>
                  <w:vMerge/>
                  <w:tcBorders>
                    <w:top w:val="none" w:color="000000" w:sz="4"/>
                    <w:left w:val="single" w:color="000000" w:sz="4"/>
                    <w:bottom w:val="single" w:color="000000" w:sz="4"/>
                    <w:right w:val="single" w:color="000000" w:sz="4"/>
                  </w:tcBorders>
                </w:tcPr>
                <w:p/>
              </w:tc>
              <w:tc>
                <w:tcPr>
                  <w:tcW w:type="dxa" w:w="160"/>
                  <w:vMerge/>
                  <w:tcBorders>
                    <w:top w:val="none" w:color="000000" w:sz="4"/>
                    <w:left w:val="none" w:color="000000" w:sz="4"/>
                    <w:bottom w:val="single" w:color="000000" w:sz="4"/>
                    <w:right w:val="single" w:color="000000" w:sz="4"/>
                  </w:tcBorders>
                </w:tcP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2）乡创项目路演评审中心：</w:t>
                  </w:r>
                  <w:r>
                    <w:rPr>
                      <w:rFonts w:ascii="仿宋_GB2312" w:hAnsi="仿宋_GB2312" w:cs="仿宋_GB2312" w:eastAsia="仿宋_GB2312"/>
                      <w:sz w:val="28"/>
                      <w:color w:val="000000"/>
                    </w:rPr>
                    <w:t>为青年乡村创业提供路演场景、评审服务，从创业种子到商业计划全程跟踪指导服务，开展商业计划评审，提供专家、资源、资金、政策对接；将路演成功的企业导入乡创孵化器或分发至全区相关产业聚集区域；</w:t>
                  </w:r>
                </w:p>
              </w:tc>
              <w:tc>
                <w:tcPr>
                  <w:tcW w:type="dxa" w:w="406"/>
                  <w:vMerge/>
                  <w:tcBorders>
                    <w:top w:val="none" w:color="000000" w:sz="4"/>
                    <w:left w:val="none" w:color="000000" w:sz="4"/>
                    <w:bottom w:val="single" w:color="000000" w:sz="4"/>
                    <w:right w:val="single" w:color="000000" w:sz="4"/>
                  </w:tcBorders>
                </w:tcPr>
                <w:p/>
              </w:tc>
            </w:tr>
            <w:tr>
              <w:tc>
                <w:tcPr>
                  <w:tcW w:type="dxa" w:w="276"/>
                  <w:vMerge/>
                  <w:tcBorders>
                    <w:top w:val="none" w:color="000000" w:sz="4"/>
                    <w:left w:val="single" w:color="000000" w:sz="4"/>
                    <w:bottom w:val="single" w:color="000000" w:sz="4"/>
                    <w:right w:val="single" w:color="000000" w:sz="4"/>
                  </w:tcBorders>
                </w:tcPr>
                <w:p/>
              </w:tc>
              <w:tc>
                <w:tcPr>
                  <w:tcW w:type="dxa" w:w="160"/>
                  <w:vMerge/>
                  <w:tcBorders>
                    <w:top w:val="none" w:color="000000" w:sz="4"/>
                    <w:left w:val="none" w:color="000000" w:sz="4"/>
                    <w:bottom w:val="single" w:color="000000" w:sz="4"/>
                    <w:right w:val="single" w:color="000000" w:sz="4"/>
                  </w:tcBorders>
                </w:tcP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3）乡村创业共享办公中心：</w:t>
                  </w:r>
                  <w:r>
                    <w:rPr>
                      <w:rFonts w:ascii="仿宋_GB2312" w:hAnsi="仿宋_GB2312" w:cs="仿宋_GB2312" w:eastAsia="仿宋_GB2312"/>
                      <w:sz w:val="28"/>
                      <w:color w:val="000000"/>
                    </w:rPr>
                    <w:t>通过体验场景、工作区域的提供，让创业青年体验鄠邑乡村生活，实现从乡村体验者变为乡村创业者的转变；</w:t>
                  </w:r>
                </w:p>
              </w:tc>
              <w:tc>
                <w:tcPr>
                  <w:tcW w:type="dxa" w:w="406"/>
                  <w:vMerge/>
                  <w:tcBorders>
                    <w:top w:val="none" w:color="000000" w:sz="4"/>
                    <w:left w:val="none" w:color="000000" w:sz="4"/>
                    <w:bottom w:val="single" w:color="000000" w:sz="4"/>
                    <w:right w:val="single" w:color="000000" w:sz="4"/>
                  </w:tcBorders>
                </w:tcPr>
                <w:p/>
              </w:tc>
            </w:tr>
            <w:tr>
              <w:tc>
                <w:tcPr>
                  <w:tcW w:type="dxa" w:w="276"/>
                  <w:vMerge/>
                  <w:tcBorders>
                    <w:top w:val="none" w:color="000000" w:sz="4"/>
                    <w:left w:val="single" w:color="000000" w:sz="4"/>
                    <w:bottom w:val="single" w:color="000000" w:sz="4"/>
                    <w:right w:val="single" w:color="000000" w:sz="4"/>
                  </w:tcBorders>
                </w:tcPr>
                <w:p/>
              </w:tc>
              <w:tc>
                <w:tcPr>
                  <w:tcW w:type="dxa" w:w="160"/>
                  <w:vMerge/>
                  <w:tcBorders>
                    <w:top w:val="none" w:color="000000" w:sz="4"/>
                    <w:left w:val="none" w:color="000000" w:sz="4"/>
                    <w:bottom w:val="single" w:color="000000" w:sz="4"/>
                    <w:right w:val="single" w:color="000000" w:sz="4"/>
                  </w:tcBorders>
                </w:tcP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4）乡村创业宣传推广中心：</w:t>
                  </w:r>
                  <w:r>
                    <w:rPr>
                      <w:rFonts w:ascii="仿宋_GB2312" w:hAnsi="仿宋_GB2312" w:cs="仿宋_GB2312" w:eastAsia="仿宋_GB2312"/>
                      <w:sz w:val="28"/>
                      <w:color w:val="000000"/>
                    </w:rPr>
                    <w:t>负责向外界传递鄠邑乡村创业的最新动态，包括乡村建设、直播信息、活动咨询、商务合作、文稿宣传等，提升鄠邑乡村的影响力；对鄠邑乡村创业相关的重大事件和活动进行及时有效的宣传报道，配合区委区政府和相关部门做好乡村振兴领域的宣传工作；</w:t>
                  </w:r>
                </w:p>
              </w:tc>
              <w:tc>
                <w:tcPr>
                  <w:tcW w:type="dxa" w:w="406"/>
                  <w:vMerge/>
                  <w:tcBorders>
                    <w:top w:val="none" w:color="000000" w:sz="4"/>
                    <w:left w:val="none" w:color="000000" w:sz="4"/>
                    <w:bottom w:val="single" w:color="000000" w:sz="4"/>
                    <w:right w:val="single" w:color="000000" w:sz="4"/>
                  </w:tcBorders>
                </w:tcPr>
                <w:p/>
              </w:tc>
            </w:tr>
            <w:tr>
              <w:tc>
                <w:tcPr>
                  <w:tcW w:type="dxa" w:w="276"/>
                  <w:vMerge/>
                  <w:tcBorders>
                    <w:top w:val="none" w:color="000000" w:sz="4"/>
                    <w:left w:val="single" w:color="000000" w:sz="4"/>
                    <w:bottom w:val="single" w:color="000000" w:sz="4"/>
                    <w:right w:val="single" w:color="000000" w:sz="4"/>
                  </w:tcBorders>
                </w:tcPr>
                <w:p/>
              </w:tc>
              <w:tc>
                <w:tcPr>
                  <w:tcW w:type="dxa" w:w="160"/>
                  <w:vMerge/>
                  <w:tcBorders>
                    <w:top w:val="none" w:color="000000" w:sz="4"/>
                    <w:left w:val="none" w:color="000000" w:sz="4"/>
                    <w:bottom w:val="single" w:color="000000" w:sz="4"/>
                    <w:right w:val="single" w:color="000000" w:sz="4"/>
                  </w:tcBorders>
                </w:tcP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5）鄠邑乡创品牌运营中心：</w:t>
                  </w:r>
                  <w:r>
                    <w:rPr>
                      <w:rFonts w:ascii="仿宋_GB2312" w:hAnsi="仿宋_GB2312" w:cs="仿宋_GB2312" w:eastAsia="仿宋_GB2312"/>
                      <w:sz w:val="28"/>
                      <w:color w:val="000000"/>
                    </w:rPr>
                    <w:t>制定鄠邑乡创品牌发展战略，对中心进行包装，负责中心的品牌推广活动，策划组织各种展会活动；为区域公共品牌的建设和发展提供支持，向地方企业提供品牌升级服务；</w:t>
                  </w:r>
                </w:p>
              </w:tc>
              <w:tc>
                <w:tcPr>
                  <w:tcW w:type="dxa" w:w="406"/>
                  <w:vMerge/>
                  <w:tcBorders>
                    <w:top w:val="none" w:color="000000" w:sz="4"/>
                    <w:left w:val="none" w:color="000000" w:sz="4"/>
                    <w:bottom w:val="single" w:color="000000" w:sz="4"/>
                    <w:right w:val="single" w:color="000000" w:sz="4"/>
                  </w:tcBorders>
                </w:tcPr>
                <w:p/>
              </w:tc>
            </w:tr>
            <w:tr>
              <w:tc>
                <w:tcPr>
                  <w:tcW w:type="dxa" w:w="276"/>
                  <w:vMerge/>
                  <w:tcBorders>
                    <w:top w:val="none" w:color="000000" w:sz="4"/>
                    <w:left w:val="single" w:color="000000" w:sz="4"/>
                    <w:bottom w:val="single" w:color="000000" w:sz="4"/>
                    <w:right w:val="single" w:color="000000" w:sz="4"/>
                  </w:tcBorders>
                </w:tcPr>
                <w:p/>
              </w:tc>
              <w:tc>
                <w:tcPr>
                  <w:tcW w:type="dxa" w:w="160"/>
                  <w:vMerge/>
                  <w:tcBorders>
                    <w:top w:val="none" w:color="000000" w:sz="4"/>
                    <w:left w:val="none" w:color="000000" w:sz="4"/>
                    <w:bottom w:val="single" w:color="000000" w:sz="4"/>
                    <w:right w:val="single" w:color="000000" w:sz="4"/>
                  </w:tcBorders>
                </w:tcP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6）乡创青年联络共促中心：</w:t>
                  </w:r>
                  <w:r>
                    <w:rPr>
                      <w:rFonts w:ascii="仿宋_GB2312" w:hAnsi="仿宋_GB2312" w:cs="仿宋_GB2312" w:eastAsia="仿宋_GB2312"/>
                      <w:sz w:val="28"/>
                      <w:color w:val="000000"/>
                    </w:rPr>
                    <w:t>建立鄠邑乡创客联盟的总部基地，全国乡村产业融合发展联盟以及其他乡村振兴相关学会、协会、基金会等非盈利机构的鄠邑区乡村创业联络中心。</w:t>
                  </w:r>
                </w:p>
              </w:tc>
              <w:tc>
                <w:tcPr>
                  <w:tcW w:type="dxa" w:w="406"/>
                  <w:vMerge/>
                  <w:tcBorders>
                    <w:top w:val="none" w:color="000000" w:sz="4"/>
                    <w:left w:val="none" w:color="000000" w:sz="4"/>
                    <w:bottom w:val="single" w:color="000000" w:sz="4"/>
                    <w:right w:val="single" w:color="000000" w:sz="4"/>
                  </w:tcBorders>
                </w:tcPr>
                <w:p/>
              </w:tc>
            </w:tr>
            <w:tr>
              <w:tc>
                <w:tcPr>
                  <w:tcW w:type="dxa" w:w="27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基础工作指标</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3</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b/>
                      <w:color w:val="000000"/>
                    </w:rPr>
                    <w:t>社交媒体内容创作：</w:t>
                  </w:r>
                  <w:r>
                    <w:rPr>
                      <w:rFonts w:ascii="仿宋_GB2312" w:hAnsi="仿宋_GB2312" w:cs="仿宋_GB2312" w:eastAsia="仿宋_GB2312"/>
                      <w:sz w:val="28"/>
                      <w:color w:val="000000"/>
                    </w:rPr>
                    <w:t>公众号、抖音、小红书等社交媒体建设</w:t>
                  </w:r>
                  <w:r>
                    <w:br/>
                  </w:r>
                  <w:r>
                    <w:rPr>
                      <w:rFonts w:ascii="仿宋_GB2312" w:hAnsi="仿宋_GB2312" w:cs="仿宋_GB2312" w:eastAsia="仿宋_GB2312"/>
                      <w:sz w:val="28"/>
                      <w:color w:val="000000"/>
                    </w:rPr>
                    <w:t>开通并运营</w:t>
                  </w:r>
                  <w:r>
                    <w:rPr>
                      <w:rFonts w:ascii="仿宋_GB2312" w:hAnsi="仿宋_GB2312" w:cs="仿宋_GB2312" w:eastAsia="仿宋_GB2312"/>
                      <w:sz w:val="28"/>
                      <w:color w:val="000000"/>
                    </w:rPr>
                    <w:t>“青年乡创客链接服务中心”公众号、抖音、小红书（具体名称以注册为准），定期发布以下内容：</w:t>
                  </w:r>
                  <w:r>
                    <w:br/>
                  </w:r>
                  <w:r>
                    <w:rPr>
                      <w:rFonts w:ascii="仿宋_GB2312" w:hAnsi="仿宋_GB2312" w:cs="仿宋_GB2312" w:eastAsia="仿宋_GB2312"/>
                      <w:sz w:val="28"/>
                      <w:color w:val="000000"/>
                    </w:rPr>
                    <w:t>（</w:t>
                  </w:r>
                  <w:r>
                    <w:rPr>
                      <w:rFonts w:ascii="仿宋_GB2312" w:hAnsi="仿宋_GB2312" w:cs="仿宋_GB2312" w:eastAsia="仿宋_GB2312"/>
                      <w:sz w:val="28"/>
                      <w:color w:val="000000"/>
                    </w:rPr>
                    <w:t>1）乡创政策解读、创业故事、项目推介；</w:t>
                  </w:r>
                  <w:r>
                    <w:br/>
                  </w:r>
                  <w:r>
                    <w:rPr>
                      <w:rFonts w:ascii="仿宋_GB2312" w:hAnsi="仿宋_GB2312" w:cs="仿宋_GB2312" w:eastAsia="仿宋_GB2312"/>
                      <w:sz w:val="28"/>
                      <w:color w:val="000000"/>
                    </w:rPr>
                    <w:t>（</w:t>
                  </w:r>
                  <w:r>
                    <w:rPr>
                      <w:rFonts w:ascii="仿宋_GB2312" w:hAnsi="仿宋_GB2312" w:cs="仿宋_GB2312" w:eastAsia="仿宋_GB2312"/>
                      <w:sz w:val="28"/>
                      <w:color w:val="000000"/>
                    </w:rPr>
                    <w:t>2）活动预告、培训课程、路演信息；</w:t>
                  </w:r>
                  <w:r>
                    <w:br/>
                  </w:r>
                  <w:r>
                    <w:rPr>
                      <w:rFonts w:ascii="仿宋_GB2312" w:hAnsi="仿宋_GB2312" w:cs="仿宋_GB2312" w:eastAsia="仿宋_GB2312"/>
                      <w:sz w:val="28"/>
                      <w:color w:val="000000"/>
                    </w:rPr>
                    <w:t>（</w:t>
                  </w:r>
                  <w:r>
                    <w:rPr>
                      <w:rFonts w:ascii="仿宋_GB2312" w:hAnsi="仿宋_GB2312" w:cs="仿宋_GB2312" w:eastAsia="仿宋_GB2312"/>
                      <w:sz w:val="28"/>
                      <w:color w:val="000000"/>
                    </w:rPr>
                    <w:t>3）鄠邑乡村创业动态和重大事件报道；</w:t>
                  </w:r>
                  <w:r>
                    <w:br/>
                  </w:r>
                  <w:r>
                    <w:rPr>
                      <w:rFonts w:ascii="仿宋_GB2312" w:hAnsi="仿宋_GB2312" w:cs="仿宋_GB2312" w:eastAsia="仿宋_GB2312"/>
                      <w:sz w:val="28"/>
                      <w:color w:val="000000"/>
                    </w:rPr>
                    <w:t>（</w:t>
                  </w:r>
                  <w:r>
                    <w:rPr>
                      <w:rFonts w:ascii="仿宋_GB2312" w:hAnsi="仿宋_GB2312" w:cs="仿宋_GB2312" w:eastAsia="仿宋_GB2312"/>
                      <w:sz w:val="28"/>
                      <w:color w:val="000000"/>
                    </w:rPr>
                    <w:t>4）打造乡创人才故事系列内容。</w:t>
                  </w:r>
                  <w:r>
                    <w:br/>
                  </w:r>
                  <w:r>
                    <w:rPr>
                      <w:rFonts w:ascii="仿宋_GB2312" w:hAnsi="仿宋_GB2312" w:cs="仿宋_GB2312" w:eastAsia="仿宋_GB2312"/>
                      <w:sz w:val="28"/>
                      <w:color w:val="000000"/>
                    </w:rPr>
                    <w:t>每月至少发布</w:t>
                  </w:r>
                  <w:r>
                    <w:rPr>
                      <w:rFonts w:ascii="仿宋_GB2312" w:hAnsi="仿宋_GB2312" w:cs="仿宋_GB2312" w:eastAsia="仿宋_GB2312"/>
                      <w:sz w:val="28"/>
                      <w:color w:val="000000"/>
                    </w:rPr>
                    <w:t>1条优质内容。</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发布数据</w:t>
                  </w:r>
                </w:p>
              </w:tc>
            </w:tr>
            <w:tr>
              <w:tc>
                <w:tcPr>
                  <w:tcW w:type="dxa" w:w="276"/>
                  <w:vMerge/>
                  <w:tcBorders>
                    <w:top w:val="none" w:color="000000" w:sz="4"/>
                    <w:left w:val="single" w:color="000000" w:sz="4"/>
                    <w:bottom w:val="single" w:color="000000" w:sz="4"/>
                    <w:right w:val="single" w:color="000000" w:sz="4"/>
                  </w:tcBorders>
                </w:tcP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4</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b/>
                      <w:color w:val="000000"/>
                    </w:rPr>
                    <w:t>专业培训课程：</w:t>
                  </w:r>
                  <w:r>
                    <w:rPr>
                      <w:rFonts w:ascii="仿宋_GB2312" w:hAnsi="仿宋_GB2312" w:cs="仿宋_GB2312" w:eastAsia="仿宋_GB2312"/>
                      <w:sz w:val="28"/>
                      <w:color w:val="000000"/>
                    </w:rPr>
                    <w:t>全年至少提供</w:t>
                  </w:r>
                  <w:r>
                    <w:rPr>
                      <w:rFonts w:ascii="仿宋_GB2312" w:hAnsi="仿宋_GB2312" w:cs="仿宋_GB2312" w:eastAsia="仿宋_GB2312"/>
                      <w:sz w:val="28"/>
                      <w:color w:val="000000"/>
                    </w:rPr>
                    <w:t>4场专业培训课程(面向全区），涵盖新媒体、财务、法务、融资等创业相关领域，每场培训不少于20人参加，提升创业者的专业技能和管理能力。</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全年培训计划、服务台账、签到记录</w:t>
                  </w:r>
                </w:p>
              </w:tc>
            </w:tr>
            <w:tr>
              <w:tc>
                <w:tcPr>
                  <w:tcW w:type="dxa" w:w="276"/>
                  <w:vMerge/>
                  <w:tcBorders>
                    <w:top w:val="none" w:color="000000" w:sz="4"/>
                    <w:left w:val="single" w:color="000000" w:sz="4"/>
                    <w:bottom w:val="single" w:color="000000" w:sz="4"/>
                    <w:right w:val="single" w:color="000000" w:sz="4"/>
                  </w:tcBorders>
                </w:tcP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5</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b/>
                      <w:color w:val="000000"/>
                    </w:rPr>
                    <w:t>沙龙活动：</w:t>
                  </w:r>
                  <w:r>
                    <w:rPr>
                      <w:rFonts w:ascii="仿宋_GB2312" w:hAnsi="仿宋_GB2312" w:cs="仿宋_GB2312" w:eastAsia="仿宋_GB2312"/>
                      <w:sz w:val="28"/>
                      <w:color w:val="000000"/>
                    </w:rPr>
                    <w:t>每季度至少举办</w:t>
                  </w:r>
                  <w:r>
                    <w:rPr>
                      <w:rFonts w:ascii="仿宋_GB2312" w:hAnsi="仿宋_GB2312" w:cs="仿宋_GB2312" w:eastAsia="仿宋_GB2312"/>
                      <w:sz w:val="28"/>
                      <w:color w:val="000000"/>
                    </w:rPr>
                    <w:t>3次青年乡创为主题的线上或线下（至少一次线下）沙龙活动，每次参与人数不少于20人，促进知识分享、经验交流和网络构建。</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全年沙龙活动计划、服务台账、签到记录</w:t>
                  </w:r>
                </w:p>
              </w:tc>
            </w:tr>
            <w:tr>
              <w:tc>
                <w:tcPr>
                  <w:tcW w:type="dxa" w:w="276"/>
                  <w:vMerge/>
                  <w:tcBorders>
                    <w:top w:val="none" w:color="000000" w:sz="4"/>
                    <w:left w:val="single" w:color="000000" w:sz="4"/>
                    <w:bottom w:val="single" w:color="000000" w:sz="4"/>
                    <w:right w:val="single" w:color="000000" w:sz="4"/>
                  </w:tcBorders>
                </w:tcP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6</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b/>
                      <w:color w:val="000000"/>
                    </w:rPr>
                    <w:t>项目库建设：</w:t>
                  </w:r>
                  <w:r>
                    <w:rPr>
                      <w:rFonts w:ascii="仿宋_GB2312" w:hAnsi="仿宋_GB2312" w:cs="仿宋_GB2312" w:eastAsia="仿宋_GB2312"/>
                      <w:sz w:val="28"/>
                      <w:color w:val="000000"/>
                    </w:rPr>
                    <w:t>面向全国征集优质创业项目，优先导入乡创客链接服务中心孵化，确保入库项目全年有不少于</w:t>
                  </w:r>
                  <w:r>
                    <w:rPr>
                      <w:rFonts w:ascii="仿宋_GB2312" w:hAnsi="仿宋_GB2312" w:cs="仿宋_GB2312" w:eastAsia="仿宋_GB2312"/>
                      <w:sz w:val="28"/>
                      <w:color w:val="000000"/>
                    </w:rPr>
                    <w:t>60个有效项目入库，作为资源共享和项目推广的平台。服务中心资源库内无法匹配的项目分发给上级部门进行资源匹配。</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项目库及评分表</w:t>
                  </w:r>
                </w:p>
              </w:tc>
            </w:tr>
            <w:tr>
              <w:tc>
                <w:tcPr>
                  <w:tcW w:type="dxa" w:w="276"/>
                  <w:vMerge/>
                  <w:tcBorders>
                    <w:top w:val="none" w:color="000000" w:sz="4"/>
                    <w:left w:val="single" w:color="000000" w:sz="4"/>
                    <w:bottom w:val="single" w:color="000000" w:sz="4"/>
                    <w:right w:val="single" w:color="000000" w:sz="4"/>
                  </w:tcBorders>
                </w:tcP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7</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b/>
                      <w:color w:val="000000"/>
                    </w:rPr>
                    <w:t>企业服务：</w:t>
                  </w:r>
                  <w:r>
                    <w:rPr>
                      <w:rFonts w:ascii="仿宋_GB2312" w:hAnsi="仿宋_GB2312" w:cs="仿宋_GB2312" w:eastAsia="仿宋_GB2312"/>
                      <w:sz w:val="28"/>
                      <w:color w:val="000000"/>
                    </w:rPr>
                    <w:t>为在鄠乡创客及其企业提供从创意</w:t>
                  </w:r>
                  <w:r>
                    <w:rPr>
                      <w:rFonts w:ascii="仿宋_GB2312" w:hAnsi="仿宋_GB2312" w:cs="仿宋_GB2312" w:eastAsia="仿宋_GB2312"/>
                      <w:sz w:val="28"/>
                      <w:color w:val="000000"/>
                    </w:rPr>
                    <w:t>--项目--企业--产业的全生命周期服务。</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76"/>
                  <w:vMerge/>
                  <w:tcBorders>
                    <w:top w:val="none" w:color="000000" w:sz="4"/>
                    <w:left w:val="single" w:color="000000" w:sz="4"/>
                    <w:bottom w:val="single" w:color="000000" w:sz="4"/>
                    <w:right w:val="single" w:color="000000" w:sz="4"/>
                  </w:tcBorders>
                </w:tcP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8</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b/>
                      <w:color w:val="000000"/>
                    </w:rPr>
                    <w:t>吸引青年创新创业人才：</w:t>
                  </w:r>
                  <w:r>
                    <w:rPr>
                      <w:rFonts w:ascii="仿宋_GB2312" w:hAnsi="仿宋_GB2312" w:cs="仿宋_GB2312" w:eastAsia="仿宋_GB2312"/>
                      <w:sz w:val="28"/>
                      <w:color w:val="000000"/>
                    </w:rPr>
                    <w:t>通过提供创业支持服务，年度接待创业咨询</w:t>
                  </w:r>
                  <w:r>
                    <w:rPr>
                      <w:rFonts w:ascii="仿宋_GB2312" w:hAnsi="仿宋_GB2312" w:cs="仿宋_GB2312" w:eastAsia="仿宋_GB2312"/>
                      <w:sz w:val="28"/>
                      <w:color w:val="000000"/>
                    </w:rPr>
                    <w:t>≥150人次。</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76"/>
                  <w:vMerge/>
                  <w:tcBorders>
                    <w:top w:val="none" w:color="000000" w:sz="4"/>
                    <w:left w:val="single" w:color="000000" w:sz="4"/>
                    <w:bottom w:val="single" w:color="000000" w:sz="4"/>
                    <w:right w:val="single" w:color="000000" w:sz="4"/>
                  </w:tcBorders>
                </w:tcP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9</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b/>
                      <w:color w:val="000000"/>
                    </w:rPr>
                    <w:t>志愿者服务：</w:t>
                  </w:r>
                  <w:r>
                    <w:rPr>
                      <w:rFonts w:ascii="仿宋_GB2312" w:hAnsi="仿宋_GB2312" w:cs="仿宋_GB2312" w:eastAsia="仿宋_GB2312"/>
                      <w:sz w:val="28"/>
                      <w:color w:val="000000"/>
                    </w:rPr>
                    <w:t>招募志愿者参与中心的日常运行、活动策划和执行等工作，做好志愿者的交通、用餐的基本保障。</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附志愿者名单及志愿者参与日常运行、活动策划和执行等活动开展照片及活动内容。</w:t>
                  </w:r>
                </w:p>
              </w:tc>
            </w:tr>
            <w:tr>
              <w:tc>
                <w:tcPr>
                  <w:tcW w:type="dxa" w:w="276"/>
                  <w:vMerge/>
                  <w:tcBorders>
                    <w:top w:val="none" w:color="000000" w:sz="4"/>
                    <w:left w:val="single" w:color="000000" w:sz="4"/>
                    <w:bottom w:val="single" w:color="000000" w:sz="4"/>
                    <w:right w:val="single" w:color="000000" w:sz="4"/>
                  </w:tcBorders>
                </w:tcP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10</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b/>
                      <w:color w:val="000000"/>
                    </w:rPr>
                    <w:t>区域调研支持：</w:t>
                  </w:r>
                  <w:r>
                    <w:rPr>
                      <w:rFonts w:ascii="仿宋_GB2312" w:hAnsi="仿宋_GB2312" w:cs="仿宋_GB2312" w:eastAsia="仿宋_GB2312"/>
                      <w:sz w:val="28"/>
                      <w:color w:val="000000"/>
                    </w:rPr>
                    <w:t>积极协助区域内进行省市各级的调研考察工作，以深入了解并推动鄠邑区乡村创新创业的发展情况。</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服务台账、签到记录</w:t>
                  </w:r>
                </w:p>
              </w:tc>
            </w:tr>
            <w:tr>
              <w:tc>
                <w:tcPr>
                  <w:tcW w:type="dxa" w:w="276"/>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核心效能指标</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11</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b/>
                      <w:color w:val="000000"/>
                    </w:rPr>
                    <w:t>工作成效：</w:t>
                  </w:r>
                  <w:r>
                    <w:br/>
                  </w:r>
                  <w:r>
                    <w:rPr>
                      <w:rFonts w:ascii="仿宋_GB2312" w:hAnsi="仿宋_GB2312" w:cs="仿宋_GB2312" w:eastAsia="仿宋_GB2312"/>
                      <w:sz w:val="28"/>
                      <w:color w:val="000000"/>
                    </w:rPr>
                    <w:t>（</w:t>
                  </w:r>
                  <w:r>
                    <w:rPr>
                      <w:rFonts w:ascii="仿宋_GB2312" w:hAnsi="仿宋_GB2312" w:cs="仿宋_GB2312" w:eastAsia="仿宋_GB2312"/>
                      <w:sz w:val="28"/>
                      <w:color w:val="000000"/>
                    </w:rPr>
                    <w:t>1）年度新增注册乡创企业≥5家；</w:t>
                  </w:r>
                  <w:r>
                    <w:br/>
                  </w:r>
                  <w:r>
                    <w:rPr>
                      <w:rFonts w:ascii="仿宋_GB2312" w:hAnsi="仿宋_GB2312" w:cs="仿宋_GB2312" w:eastAsia="仿宋_GB2312"/>
                      <w:sz w:val="28"/>
                      <w:color w:val="000000"/>
                    </w:rPr>
                    <w:t>（</w:t>
                  </w:r>
                  <w:r>
                    <w:rPr>
                      <w:rFonts w:ascii="仿宋_GB2312" w:hAnsi="仿宋_GB2312" w:cs="仿宋_GB2312" w:eastAsia="仿宋_GB2312"/>
                      <w:sz w:val="28"/>
                      <w:color w:val="000000"/>
                    </w:rPr>
                    <w:t>2）引入投资≥400万元（不含政府资金）。</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投资协议、合作备忘录、工商注册数据、回访记录</w:t>
                  </w:r>
                </w:p>
              </w:tc>
            </w:tr>
            <w:tr>
              <w:tc>
                <w:tcPr>
                  <w:tcW w:type="dxa" w:w="276"/>
                  <w:vMerge w:val="restart"/>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创新突破指标</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12</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b/>
                      <w:color w:val="000000"/>
                    </w:rPr>
                    <w:t>线上招商平台：</w:t>
                  </w:r>
                  <w:r>
                    <w:rPr>
                      <w:rFonts w:ascii="仿宋_GB2312" w:hAnsi="仿宋_GB2312" w:cs="仿宋_GB2312" w:eastAsia="仿宋_GB2312"/>
                      <w:sz w:val="28"/>
                      <w:color w:val="000000"/>
                    </w:rPr>
                    <w:t>建立青年乡创客链接服务中心线上招商平台，展示中心优势、政策支持和入驻项目。提供线上项目申报、咨询和对接服务，方便创业者了解和入驻。</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公众号信息搜集入口</w:t>
                  </w:r>
                </w:p>
              </w:tc>
            </w:tr>
            <w:tr>
              <w:tc>
                <w:tcPr>
                  <w:tcW w:type="dxa" w:w="276"/>
                  <w:vMerge/>
                  <w:tcBorders>
                    <w:top w:val="single" w:color="000000" w:sz="4"/>
                    <w:left w:val="single" w:color="000000" w:sz="4"/>
                    <w:bottom w:val="none" w:color="000000" w:sz="4"/>
                    <w:right w:val="single" w:color="000000" w:sz="4"/>
                  </w:tcBorders>
                </w:tcP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13</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b/>
                      <w:color w:val="000000"/>
                    </w:rPr>
                    <w:t>Qintopia秦托邦数字游民社区：</w:t>
                  </w:r>
                  <w:r>
                    <w:rPr>
                      <w:rFonts w:ascii="仿宋_GB2312" w:hAnsi="仿宋_GB2312" w:cs="仿宋_GB2312" w:eastAsia="仿宋_GB2312"/>
                      <w:sz w:val="28"/>
                      <w:color w:val="000000"/>
                    </w:rPr>
                    <w:t>通过社区运营吸引每季度不少于</w:t>
                  </w:r>
                  <w:r>
                    <w:rPr>
                      <w:rFonts w:ascii="仿宋_GB2312" w:hAnsi="仿宋_GB2312" w:cs="仿宋_GB2312" w:eastAsia="仿宋_GB2312"/>
                      <w:sz w:val="28"/>
                      <w:color w:val="000000"/>
                    </w:rPr>
                    <w:t>30位数字游民常驻（最短一周起）社区。</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color w:val="000000"/>
                    </w:rPr>
                    <w:t>数字游民报名表</w:t>
                  </w:r>
                </w:p>
              </w:tc>
            </w:tr>
            <w:tr>
              <w:tc>
                <w:tcPr>
                  <w:tcW w:type="dxa" w:w="276"/>
                  <w:vMerge/>
                  <w:tcBorders>
                    <w:top w:val="single" w:color="000000" w:sz="4"/>
                    <w:left w:val="single" w:color="000000" w:sz="4"/>
                    <w:bottom w:val="none" w:color="000000" w:sz="4"/>
                    <w:right w:val="single" w:color="000000" w:sz="4"/>
                  </w:tcBorders>
                </w:tcP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14</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b/>
                      <w:color w:val="000000"/>
                    </w:rPr>
                    <w:t>鄠邑乡创分享交流会：</w:t>
                  </w:r>
                  <w:r>
                    <w:rPr>
                      <w:rFonts w:ascii="仿宋_GB2312" w:hAnsi="仿宋_GB2312" w:cs="仿宋_GB2312" w:eastAsia="仿宋_GB2312"/>
                      <w:sz w:val="28"/>
                      <w:color w:val="000000"/>
                    </w:rPr>
                    <w:t>全年至少策划一场立足全区、面向全市的乡村创业交流分享。由青年乡创客链接服务中心负责组织、执行。</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附乡创分享交流会方案、开展情况等资料</w:t>
                  </w:r>
                </w:p>
              </w:tc>
            </w:tr>
            <w:tr>
              <w:tc>
                <w:tcPr>
                  <w:tcW w:type="dxa" w:w="2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其他工作内容</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15</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color w:val="000000"/>
                    </w:rPr>
                    <w:t>为满足青年创业者的多样化需求，允许运行团队通过招商的方式确定经营单位，在中心内开展适度配套性经营服务，经营业态限定为咖啡茶饮等各类饮品和茶点、糕点类，补充青年乡创客链接服务中心运行费用。</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附招商公告、运营协议、经营单位资质（包括营业执照）、营收情况</w:t>
                  </w:r>
                </w:p>
              </w:tc>
            </w:tr>
          </w:tbl>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有针对本项目的专业服务团队，人员配备数量充足</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完成项目所具备设施设备</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鄠邑区</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第一季度的前十五个工作日内支付合同总价的25% ，达到付款条件起 15 日内，支付合同总金额的 25.00%</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第二季度的前十五个工作日内支付合同总价的25% ，达到付款条件起 15 日内，支付合同总金额的 25.00%。</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第三个季度的前十五个工作日内支付合同总价的25% ，达到付款条件起 15 日内，支付合同总金额的 25.00%。</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前三个季度每季度的前十五个工作日内支付合同总价的25%，第四季度以全年的考核作为支付依据 ，达到付款条件起 15 日内，支付合同总金额的 25.00%。</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按国家有关规定以及采购文件的质量要求和技术指标、供应商的响应文件及承诺与本合同约定标准进行验收。</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按照磋商文件合同要求执行。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法定代表人（主要负责人）委托授权书/身份证明</w:t>
            </w:r>
          </w:p>
        </w:tc>
        <w:tc>
          <w:tcPr>
            <w:tcW w:type="dxa" w:w="3322"/>
          </w:tcPr>
          <w:p>
            <w:pPr>
              <w:pStyle w:val="null3"/>
            </w:pPr>
            <w:r>
              <w:rPr>
                <w:rFonts w:ascii="仿宋_GB2312" w:hAnsi="仿宋_GB2312" w:cs="仿宋_GB2312" w:eastAsia="仿宋_GB2312"/>
              </w:rPr>
              <w:t>法定代表人参加投标的，须出具法定代表人身份证明书及身份证复印件。法定代表人授权委托代理人参加投标的，须出具法定代表人授权委托书及委托代理人身份证复印件；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提供统一社会信用代码的营业执照或其他组织 经营的合法凭证或自然人的提供身份证明文件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提供具有财务审计资质单位出具的2023年度财 务报告或磋商前六个月内其基本账户银行出具 的资信证明或财政部门认可的政府采购专业担 保机构出具的担保函，以上形式的证明资料提 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投标截止之日前近六个月内至少一个月的社会保障资金缴存单据或社保机构开具的社会保险参保缴费情况证明或承诺书（以上三种形式的资料提供任何一种即可），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之日前近六个月内至少一个月的纳税证明或完税证明（增值税，印花税，城市维护建设费，企业所得税等一种或多种税种）或承诺书（以上三种形式的资料提供任何一种即可），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具备履行合同所必须的设备和专业技术能力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经查，供应商未被列入“信用中国”网站记录的“ 失信被执行人”或“重大税收违法案件当事人”名 单；不处于“中国政府采购网”记录的“政府采购 严重违法失信行为记录名单”中的禁止参加政府 采购活动期间。</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服务内容及服务邀请应答表 中小企业声明函 残疾人福利性单位声明函 商务应答表 服务方案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