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版本号：JXDZ2025-ZCHY-052020250523001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2025年度秦岭生态环境保护智慧管控系统设备维护项目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JXDZ2025-ZCHY-0520</w:t>
      </w:r>
      <w:r>
        <w:br/>
      </w:r>
      <w:r>
        <w:br/>
      </w:r>
      <w:r>
        <w:br/>
      </w:r>
    </w:p>
    <w:p>
      <w:pPr>
        <w:pStyle w:val="null3"/>
        <w:jc w:val="center"/>
        <w:outlineLvl w:val="2"/>
      </w:pPr>
      <w:r>
        <w:rPr>
          <w:rFonts w:ascii="仿宋_GB2312" w:hAnsi="仿宋_GB2312" w:cs="仿宋_GB2312" w:eastAsia="仿宋_GB2312"/>
          <w:sz w:val="28"/>
          <w:b/>
        </w:rPr>
        <w:t>西安市鄠邑区秦岭生态环境保护总站</w:t>
      </w:r>
    </w:p>
    <w:p>
      <w:pPr>
        <w:pStyle w:val="null3"/>
        <w:jc w:val="center"/>
        <w:outlineLvl w:val="2"/>
      </w:pPr>
      <w:r>
        <w:rPr>
          <w:rFonts w:ascii="仿宋_GB2312" w:hAnsi="仿宋_GB2312" w:cs="仿宋_GB2312" w:eastAsia="仿宋_GB2312"/>
          <w:sz w:val="28"/>
          <w:b/>
        </w:rPr>
        <w:t>陕西钜信达工程项目管理有限公司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陕西钜信达工程项目管理有限公司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西安市鄠邑区秦岭生态环境保护总站</w:t>
      </w:r>
      <w:r>
        <w:rPr>
          <w:rFonts w:ascii="仿宋_GB2312" w:hAnsi="仿宋_GB2312" w:cs="仿宋_GB2312" w:eastAsia="仿宋_GB2312"/>
        </w:rPr>
        <w:t>委托，拟对</w:t>
      </w:r>
      <w:r>
        <w:rPr>
          <w:rFonts w:ascii="仿宋_GB2312" w:hAnsi="仿宋_GB2312" w:cs="仿宋_GB2312" w:eastAsia="仿宋_GB2312"/>
        </w:rPr>
        <w:t>2025年度秦岭生态环境保护智慧管控系统设备维护项目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JXDZ2025-ZCHY-0520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2025年度秦岭生态环境保护智慧管控系统设备维护项目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2025年度秦岭生态环境保护智慧管控系统设备维护项目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采购包1（2025年度秦岭生态环境保护智慧管控系统设备维护项目）：属于专门面向小微企业采购。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1、营业执照等主体资格证明文件：提供有效存续的企业营业执照（副本）/事业单位法人证书/专业服务机构执业许可证/民办非企业单位登记证书/自然人身份证明；</w:t>
      </w:r>
    </w:p>
    <w:p>
      <w:pPr>
        <w:pStyle w:val="null3"/>
      </w:pPr>
      <w:r>
        <w:rPr>
          <w:rFonts w:ascii="仿宋_GB2312" w:hAnsi="仿宋_GB2312" w:cs="仿宋_GB2312" w:eastAsia="仿宋_GB2312"/>
        </w:rPr>
        <w:t>2、财务状况报告：提供具有经审计资质单位出具的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p>
      <w:pPr>
        <w:pStyle w:val="null3"/>
      </w:pPr>
      <w:r>
        <w:rPr>
          <w:rFonts w:ascii="仿宋_GB2312" w:hAnsi="仿宋_GB2312" w:cs="仿宋_GB2312" w:eastAsia="仿宋_GB2312"/>
        </w:rPr>
        <w:t>3、社保缴纳证明：提供首次响应文件递交截止时间前6个月内任意时段的缴纳证明。依法不需要交纳社会保障资金的供应商应提供相关文件证明；</w:t>
      </w:r>
    </w:p>
    <w:p>
      <w:pPr>
        <w:pStyle w:val="null3"/>
      </w:pPr>
      <w:r>
        <w:rPr>
          <w:rFonts w:ascii="仿宋_GB2312" w:hAnsi="仿宋_GB2312" w:cs="仿宋_GB2312" w:eastAsia="仿宋_GB2312"/>
        </w:rPr>
        <w:t>4、税收缴纳证明：提供首次响应文件递交截止时间前6个月内任意时段的纳税证明或完税证明（除印花税外任意税种），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5、履行合同承诺函：提供具有履行合同所必需的设备和专业技术能力的承诺。</w:t>
      </w:r>
    </w:p>
    <w:p>
      <w:pPr>
        <w:pStyle w:val="null3"/>
      </w:pPr>
      <w:r>
        <w:rPr>
          <w:rFonts w:ascii="仿宋_GB2312" w:hAnsi="仿宋_GB2312" w:cs="仿宋_GB2312" w:eastAsia="仿宋_GB2312"/>
        </w:rPr>
        <w:t>6、无重大违法记录书面声明：出具参加本次政府采购活动前三年内在经营活动中没有重大违法记录的书面声明；</w:t>
      </w:r>
    </w:p>
    <w:p>
      <w:pPr>
        <w:pStyle w:val="null3"/>
      </w:pPr>
      <w:r>
        <w:rPr>
          <w:rFonts w:ascii="仿宋_GB2312" w:hAnsi="仿宋_GB2312" w:cs="仿宋_GB2312" w:eastAsia="仿宋_GB2312"/>
        </w:rPr>
        <w:t>7、落实政府采购政策需满足的资格要求：本项目专门面向小微企业采购，供应商应为小微企业或监狱企业或残疾人福利性单位。 供应商应为小型、微型企业或监狱企业或残疾人福利性单位。供应商为小型、微型企业的，提供《中小企业声明函》，供应商为监狱企业的，应提供监狱企业的证明文件；供应商为残疾人福利性单位的，应提供《残疾人福利性单位声明函》。</w:t>
      </w:r>
    </w:p>
    <w:p>
      <w:pPr>
        <w:pStyle w:val="null3"/>
      </w:pPr>
      <w:r>
        <w:rPr>
          <w:rFonts w:ascii="仿宋_GB2312" w:hAnsi="仿宋_GB2312" w:cs="仿宋_GB2312" w:eastAsia="仿宋_GB2312"/>
        </w:rPr>
        <w:t>8、法定代表人（或负责人）身份证明/法定代表人（或负责人）授权委托书：法定代表人（或负责人）直接参加磋商的，须提供法定代表人（或负责人）身份证明及其身份证电子件或扫描件；法定代表人（或负责人）授权他人参加磋商的，须提供法定代表人（或负责人）授权委托书（附法定代表人（或负责人）、被授权人身份证电子件或扫描件）；</w:t>
      </w:r>
    </w:p>
    <w:p>
      <w:pPr>
        <w:pStyle w:val="null3"/>
      </w:pPr>
      <w:r>
        <w:rPr>
          <w:rFonts w:ascii="仿宋_GB2312" w:hAnsi="仿宋_GB2312" w:cs="仿宋_GB2312" w:eastAsia="仿宋_GB2312"/>
        </w:rPr>
        <w:t>9、信用记录：供应商不得为“信用中国”网站（www.creditchina.gov.cn）中列入失信被执行人（页面跳转至“中国执行信息公开网”http://zxgk.court.gov.cn/shixin/）和重大税收违法失信主体名单的供应商，不得为中国政府采购网（www.ccgp.gov.cn）政府采购严重违法失信行为记录名单中被财政部门禁止参加政府采购活动的供应商。 提供《供应商信用记录书面声明函》（按格式填写，提供原件）。经查，供应商未被列入“信用中国”网站记录的“失信被执行人”或“重大税收违法案件当事人”名单；不处于“中国政府采购网”记录的“政府采购严重违法失信行为记录名单 ”中的禁止参加政府采购活动期间 ；</w:t>
      </w:r>
    </w:p>
    <w:p>
      <w:pPr>
        <w:pStyle w:val="null3"/>
      </w:pPr>
      <w:r>
        <w:rPr>
          <w:rFonts w:ascii="仿宋_GB2312" w:hAnsi="仿宋_GB2312" w:cs="仿宋_GB2312" w:eastAsia="仿宋_GB2312"/>
        </w:rPr>
        <w:t>10、控股管理关系：单位负责人为同一人或者存在直接控股、管理关系的供应商，不得参加同一合同下的政府采购活动；</w:t>
      </w:r>
    </w:p>
    <w:p>
      <w:pPr>
        <w:pStyle w:val="null3"/>
      </w:pPr>
      <w:r>
        <w:rPr>
          <w:rFonts w:ascii="仿宋_GB2312" w:hAnsi="仿宋_GB2312" w:cs="仿宋_GB2312" w:eastAsia="仿宋_GB2312"/>
        </w:rPr>
        <w:t>11、供应商书面声明：供应商未为本项目提供整体设计、规范编制或者项目管理、监理、检测等服务的书面声明；</w:t>
      </w:r>
    </w:p>
    <w:p>
      <w:pPr>
        <w:pStyle w:val="null3"/>
      </w:pPr>
      <w:r>
        <w:rPr>
          <w:rFonts w:ascii="仿宋_GB2312" w:hAnsi="仿宋_GB2312" w:cs="仿宋_GB2312" w:eastAsia="仿宋_GB2312"/>
        </w:rPr>
        <w:t>12、供应商参与磋商的承诺函：符合竞争性磋商文件要求。</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西安市鄠邑区秦岭生态环境保护总站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西安市鄠邑区沣京路42号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029-84886181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陕西钜信达工程项目管理有限公司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 111号中京坊公寓B座623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029-82292656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标准，不足捌仟的按捌仟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西安市鄠邑区秦岭生态环境保护总站</w:t>
      </w:r>
      <w:r>
        <w:rPr>
          <w:rFonts w:ascii="仿宋_GB2312" w:hAnsi="仿宋_GB2312" w:cs="仿宋_GB2312" w:eastAsia="仿宋_GB2312"/>
        </w:rPr>
        <w:t>和</w:t>
      </w:r>
      <w:r>
        <w:rPr>
          <w:rFonts w:ascii="仿宋_GB2312" w:hAnsi="仿宋_GB2312" w:cs="仿宋_GB2312" w:eastAsia="仿宋_GB2312"/>
        </w:rPr>
        <w:t>陕西钜信达工程项目管理有限公司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西安市鄠邑区秦岭生态环境保护总站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陕西钜信达工程项目管理有限公司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西安市鄠邑区秦岭生态环境保护总站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陕西钜信达工程项目管理有限公司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陕西钜信达工程项目管理有限公司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陕西钜信达工程项目管理有限公司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陕西钜信达工程项目管理有限公司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联系人：田工</w:t>
      </w:r>
    </w:p>
    <w:p>
      <w:pPr>
        <w:pStyle w:val="null3"/>
      </w:pPr>
      <w:r>
        <w:rPr>
          <w:rFonts w:ascii="仿宋_GB2312" w:hAnsi="仿宋_GB2312" w:cs="仿宋_GB2312" w:eastAsia="仿宋_GB2312"/>
        </w:rPr>
        <w:t>联系电话：029-82292656</w:t>
      </w:r>
    </w:p>
    <w:p>
      <w:pPr>
        <w:pStyle w:val="null3"/>
      </w:pPr>
      <w:r>
        <w:rPr>
          <w:rFonts w:ascii="仿宋_GB2312" w:hAnsi="仿宋_GB2312" w:cs="仿宋_GB2312" w:eastAsia="仿宋_GB2312"/>
        </w:rPr>
        <w:t>地址：西安市雁塔区雁翔路 111号中京坊公寓B座623 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鄠邑区秦岭生态环境保护智慧管控系统于2020年建设完成并投入使用。自2020年完成建设以来，已经累计运营时间超过40余月，为了智慧管控系统的正常运转，本次主要对太平峪、环山路沿线、涝峪已安装的地面监控设备和秦岭保护总站机房网络设备、服务器设备及软件平台进行维护。</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340,000.00</w:t>
      </w:r>
    </w:p>
    <w:p>
      <w:pPr>
        <w:pStyle w:val="null3"/>
      </w:pPr>
      <w:r>
        <w:rPr>
          <w:rFonts w:ascii="仿宋_GB2312" w:hAnsi="仿宋_GB2312" w:cs="仿宋_GB2312" w:eastAsia="仿宋_GB2312"/>
        </w:rPr>
        <w:t>采购包最高限价（元）: 340,000.00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维保区域包含太平峪、环山路沿线、涝峪。维保内容包含已建成并交付使用的所有地面监控点位设备和中心侧设备。设备类型分为3类，即视频类前端设备、非视频类功能点位设备、秦岭保护总站机房设备。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维保区域包含太平峪、环山路沿线、涝峪。维保内容包含已建成并交付使用的所有地面监控点位设备和中心侧设备。设备类型分为3类，即视频类前端设备、非视频类功能点位设备、秦岭保护总站机房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西安市鄠邑区秦岭生态环境保护智慧管控系统于</w:t>
            </w:r>
            <w:r>
              <w:rPr>
                <w:rFonts w:ascii="仿宋_GB2312" w:hAnsi="仿宋_GB2312" w:cs="仿宋_GB2312" w:eastAsia="仿宋_GB2312"/>
                <w:sz w:val="24"/>
              </w:rPr>
              <w:t>2020年建设完成并投入使用。自2020年完成建设以来，已经累计运营时间40余月，为了智慧管控系统的正常运转，本次主要对太平峪、环山路沿线、涝峪已安装的地面监控设备和秦岭保护总站机房网络设备、服务器设备 及软件平台进行维护。</w:t>
            </w:r>
          </w:p>
          <w:p>
            <w:pPr>
              <w:pStyle w:val="null3"/>
              <w:jc w:val="both"/>
            </w:pPr>
            <w:r>
              <w:rPr>
                <w:rFonts w:ascii="仿宋_GB2312" w:hAnsi="仿宋_GB2312" w:cs="仿宋_GB2312" w:eastAsia="仿宋_GB2312"/>
                <w:sz w:val="24"/>
                <w:b/>
              </w:rPr>
              <w:t>二、服务内容</w:t>
            </w:r>
          </w:p>
          <w:p>
            <w:pPr>
              <w:pStyle w:val="null3"/>
              <w:ind w:firstLine="480"/>
              <w:jc w:val="both"/>
            </w:pPr>
            <w:r>
              <w:rPr>
                <w:rFonts w:ascii="仿宋_GB2312" w:hAnsi="仿宋_GB2312" w:cs="仿宋_GB2312" w:eastAsia="仿宋_GB2312"/>
                <w:sz w:val="24"/>
              </w:rPr>
              <w:t>维保区域包含太平峪、环山路沿线、涝峪。维保内容包含已建成并交付使用的所有地面监控点位设备和中心侧设备。设备类型分为</w:t>
            </w:r>
            <w:r>
              <w:rPr>
                <w:rFonts w:ascii="仿宋_GB2312" w:hAnsi="仿宋_GB2312" w:cs="仿宋_GB2312" w:eastAsia="仿宋_GB2312"/>
                <w:sz w:val="24"/>
              </w:rPr>
              <w:t>3类，即视频类前端设备、非视频类功能点位设备、秦岭保护总站机房设备。</w:t>
            </w:r>
          </w:p>
          <w:p>
            <w:pPr>
              <w:pStyle w:val="null3"/>
              <w:jc w:val="both"/>
            </w:pPr>
            <w:r>
              <w:rPr>
                <w:rFonts w:ascii="仿宋_GB2312" w:hAnsi="仿宋_GB2312" w:cs="仿宋_GB2312" w:eastAsia="仿宋_GB2312"/>
                <w:sz w:val="24"/>
              </w:rPr>
              <w:t xml:space="preserve">  视频类前端设备：枪机、球机、半球机、枪球一体机。</w:t>
            </w:r>
          </w:p>
          <w:p>
            <w:pPr>
              <w:pStyle w:val="null3"/>
              <w:jc w:val="both"/>
            </w:pPr>
            <w:r>
              <w:rPr>
                <w:rFonts w:ascii="仿宋_GB2312" w:hAnsi="仿宋_GB2312" w:cs="仿宋_GB2312" w:eastAsia="仿宋_GB2312"/>
                <w:sz w:val="24"/>
              </w:rPr>
              <w:t xml:space="preserve">  非视频类功能点位设备：卡口、音柱、河道喇叭、车辆道闸、一键报警。总站机房设备；服务器、防火墙、交换机、硬盘录像机、核心交换机、存储服务器、终端设备。</w:t>
            </w:r>
          </w:p>
          <w:p>
            <w:pPr>
              <w:pStyle w:val="null3"/>
              <w:jc w:val="both"/>
            </w:pPr>
            <w:r>
              <w:rPr>
                <w:rFonts w:ascii="仿宋_GB2312" w:hAnsi="仿宋_GB2312" w:cs="仿宋_GB2312" w:eastAsia="仿宋_GB2312"/>
                <w:sz w:val="24"/>
              </w:rPr>
              <w:t xml:space="preserve">  对以上所述设备进行运行维护、日常巡检和故障处理。</w:t>
            </w:r>
          </w:p>
          <w:p>
            <w:pPr>
              <w:pStyle w:val="null3"/>
              <w:jc w:val="both"/>
            </w:pPr>
            <w:r>
              <w:rPr>
                <w:rFonts w:ascii="仿宋_GB2312" w:hAnsi="仿宋_GB2312" w:cs="仿宋_GB2312" w:eastAsia="仿宋_GB2312"/>
                <w:sz w:val="24"/>
                <w:b/>
              </w:rPr>
              <w:t>三、维保内容</w:t>
            </w:r>
          </w:p>
          <w:p>
            <w:pPr>
              <w:pStyle w:val="null3"/>
              <w:jc w:val="both"/>
            </w:pPr>
            <w:r>
              <w:rPr>
                <w:rFonts w:ascii="仿宋_GB2312" w:hAnsi="仿宋_GB2312" w:cs="仿宋_GB2312" w:eastAsia="仿宋_GB2312"/>
                <w:sz w:val="24"/>
              </w:rPr>
              <w:t>(一)日常巡检：每周对前端硬件设备定期巡检一次。</w:t>
            </w:r>
          </w:p>
          <w:p>
            <w:pPr>
              <w:pStyle w:val="null3"/>
              <w:jc w:val="both"/>
            </w:pPr>
            <w:r>
              <w:rPr>
                <w:rFonts w:ascii="仿宋_GB2312" w:hAnsi="仿宋_GB2312" w:cs="仿宋_GB2312" w:eastAsia="仿宋_GB2312"/>
                <w:sz w:val="24"/>
              </w:rPr>
              <w:t>(二)运行维护：对于机房后台管理软件及网络、服务器设备进行维护。</w:t>
            </w:r>
          </w:p>
          <w:p>
            <w:pPr>
              <w:pStyle w:val="null3"/>
              <w:jc w:val="both"/>
            </w:pPr>
            <w:r>
              <w:rPr>
                <w:rFonts w:ascii="仿宋_GB2312" w:hAnsi="仿宋_GB2312" w:cs="仿宋_GB2312" w:eastAsia="仿宋_GB2312"/>
                <w:sz w:val="24"/>
              </w:rPr>
              <w:t>(三)故障处理：对前端地面监控点位进行故障排查、维修、线路、部分硬件配件更换等。(包含：摄像机电源、前端交换机、光纤收发器、设备维修配件、线材及辅材等。其中不包含主要设备的更换，如：防火墙、服务器、存储、球机、车辆卡口等主要设备。)</w:t>
            </w:r>
          </w:p>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、维护区域</w:t>
            </w:r>
          </w:p>
          <w:p>
            <w:pPr>
              <w:pStyle w:val="null3"/>
              <w:ind w:firstLine="480"/>
              <w:jc w:val="both"/>
            </w:pPr>
            <w:r>
              <w:rPr>
                <w:rFonts w:ascii="仿宋_GB2312" w:hAnsi="仿宋_GB2312" w:cs="仿宋_GB2312" w:eastAsia="仿宋_GB2312"/>
                <w:sz w:val="24"/>
              </w:rPr>
              <w:t>太平峪、环山路沿线峪口、涝峪区域自建监控设备。</w:t>
            </w:r>
          </w:p>
          <w:p>
            <w:pPr>
              <w:pStyle w:val="null3"/>
              <w:jc w:val="both"/>
            </w:pPr>
            <w:r>
              <w:rPr>
                <w:rFonts w:ascii="仿宋_GB2312" w:hAnsi="仿宋_GB2312" w:cs="仿宋_GB2312" w:eastAsia="仿宋_GB2312"/>
                <w:sz w:val="24"/>
                <w:b/>
              </w:rPr>
              <w:t>五、</w:t>
            </w:r>
            <w:r>
              <w:rPr>
                <w:rFonts w:ascii="仿宋_GB2312" w:hAnsi="仿宋_GB2312" w:cs="仿宋_GB2312" w:eastAsia="仿宋_GB2312"/>
                <w:sz w:val="24"/>
                <w:b/>
              </w:rPr>
              <w:t>技术要求</w:t>
            </w:r>
          </w:p>
          <w:p>
            <w:pPr>
              <w:pStyle w:val="null3"/>
              <w:ind w:firstLine="480"/>
              <w:jc w:val="both"/>
            </w:pPr>
            <w:r>
              <w:rPr>
                <w:rFonts w:ascii="仿宋_GB2312" w:hAnsi="仿宋_GB2312" w:cs="仿宋_GB2312" w:eastAsia="仿宋_GB2312"/>
                <w:sz w:val="24"/>
              </w:rPr>
              <w:t>1.视频类前端设备确保画面在线、功能正常、稳定运行。</w:t>
            </w:r>
          </w:p>
          <w:p>
            <w:pPr>
              <w:pStyle w:val="null3"/>
              <w:ind w:firstLine="480"/>
              <w:jc w:val="both"/>
            </w:pPr>
            <w:r>
              <w:rPr>
                <w:rFonts w:ascii="仿宋_GB2312" w:hAnsi="仿宋_GB2312" w:cs="仿宋_GB2312" w:eastAsia="仿宋_GB2312"/>
                <w:sz w:val="24"/>
              </w:rPr>
              <w:t>2.非视频类功能点位设备，确保符合工作要求、功能正常、稳定运行 。</w:t>
            </w:r>
          </w:p>
          <w:p>
            <w:pPr>
              <w:pStyle w:val="null3"/>
              <w:ind w:firstLine="480"/>
              <w:jc w:val="both"/>
            </w:pPr>
            <w:r>
              <w:rPr>
                <w:rFonts w:ascii="仿宋_GB2312" w:hAnsi="仿宋_GB2312" w:cs="仿宋_GB2312" w:eastAsia="仿宋_GB2312"/>
                <w:sz w:val="24"/>
              </w:rPr>
              <w:t>3.总站机房设备，确保前端点位正常实现预览、分析、存储、回放、数据交换传输等功能。</w:t>
            </w:r>
          </w:p>
          <w:p>
            <w:pPr>
              <w:pStyle w:val="null3"/>
              <w:jc w:val="both"/>
            </w:pPr>
            <w:r>
              <w:rPr>
                <w:rFonts w:ascii="仿宋_GB2312" w:hAnsi="仿宋_GB2312" w:cs="仿宋_GB2312" w:eastAsia="仿宋_GB2312"/>
                <w:sz w:val="24"/>
                <w:b/>
              </w:rPr>
              <w:t>六</w:t>
            </w:r>
            <w:r>
              <w:rPr>
                <w:rFonts w:ascii="仿宋_GB2312" w:hAnsi="仿宋_GB2312" w:cs="仿宋_GB2312" w:eastAsia="仿宋_GB2312"/>
                <w:sz w:val="24"/>
                <w:b/>
              </w:rPr>
              <w:t>、服务要求</w:t>
            </w:r>
          </w:p>
          <w:p>
            <w:pPr>
              <w:pStyle w:val="null3"/>
              <w:ind w:firstLine="480"/>
              <w:jc w:val="both"/>
            </w:pPr>
            <w:r>
              <w:rPr>
                <w:rFonts w:ascii="仿宋_GB2312" w:hAnsi="仿宋_GB2312" w:cs="仿宋_GB2312" w:eastAsia="仿宋_GB2312"/>
                <w:sz w:val="24"/>
              </w:rPr>
              <w:t>1.提供专业网络、监控技术人员2名驻场服务；施工人员若干名。</w:t>
            </w:r>
          </w:p>
          <w:p>
            <w:pPr>
              <w:pStyle w:val="null3"/>
              <w:ind w:firstLine="480"/>
              <w:jc w:val="both"/>
            </w:pPr>
            <w:r>
              <w:rPr>
                <w:rFonts w:ascii="仿宋_GB2312" w:hAnsi="仿宋_GB2312" w:cs="仿宋_GB2312" w:eastAsia="仿宋_GB2312"/>
                <w:sz w:val="24"/>
              </w:rPr>
              <w:t>2.建立完善的故障处理流程，确保故障发生后能够迅速响应并修复。</w:t>
            </w:r>
          </w:p>
          <w:p>
            <w:pPr>
              <w:pStyle w:val="null3"/>
              <w:ind w:firstLine="480"/>
              <w:jc w:val="both"/>
            </w:pPr>
            <w:r>
              <w:rPr>
                <w:rFonts w:ascii="仿宋_GB2312" w:hAnsi="仿宋_GB2312" w:cs="仿宋_GB2312" w:eastAsia="仿宋_GB2312"/>
                <w:sz w:val="24"/>
              </w:rPr>
              <w:t>3.能够提供7x24小时的技术支持与故障应急响应服务。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提供专业网络、监控技术人员2名驻场服务；施工人员若干名。</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西安市鄠邑区秦岭保护总站</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按照运维服务项目和服务内容的要求标准执行。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合同签订后，完成第一季度任务后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完成第二季度任务后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完成第三季度任务后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完成第四季度任务后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1.乙方有严重违约行为致使合同无法继续履行，或者乙方工作考核严重不合格致使合同目的无法实现，甲方可向乙方发出书面违约通知书，提出终止合同； 2.在合同履行过程中，乙方工作人员因维修保养材料、工具、设施设备使用不正当造成的损失，甲方将视损失情况按原值的 10%-100%从服务费用中扣除，不足部分乙方应当进行赔偿； 3.乙方工作人员在服务区域故意或过失破坏甲方设备、设施、产品、材料等，造成甲方财产损失的，乙方应承担全部赔偿责任； 4.合同中未约定的，按《中华人民共和国民法典》中的相关条款执行； 5.在本合同履行过程中，双方因违约或造成对方经济、社会效益等损失的应当赔偿； 6.未经甲方同意，乙方不得擅自将本合同服务转包第三方承担； 7.乙方应负有安全管理义务，乙方在本合同履行过程中如造成的人身损害或者财产损失，全部由乙方负责赔偿，乙方承担一切责任。 解决争议的办法：未尽事宜，双方友好协商解决。协商不成的，任何一方可依法向甲方所在地有管辖权的人民法院提起诉讼。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成交供应商在领取本项目成交通知书时提供一正一副纸质竞争性磋商响应文件，采用书籍（胶装）方式装订成册，与电子响应文件保持一致，不允许修改和补充。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提供有效存续的企业营业执照（副本）/事业单位法人证书/专业服务机构执业许可证/民办非企业单位登记证书/自然人身份证明；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经审计资质单位出具的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提供首次响应文件递交截止时间前6个月内任意时段的缴纳证明。依法不需要交纳社会保障资金的供应商应提供相关文件证明；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首次响应文件递交截止时间前6个月内任意时段的纳税证明或完税证明（除印花税外任意税种），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履行合同承诺函</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本项目专门面向小微企业采购，供应商应为小微企业或监狱企业或残疾人福利性单位。 供应商应为小型、微型企业或监狱企业或残疾人福利性单位。供应商为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法定代表人（或负责人）身份证明/法定代表人（或负责人）授权委托书</w:t>
            </w:r>
          </w:p>
        </w:tc>
        <w:tc>
          <w:tcPr>
            <w:tcW w:type="dxa" w:w="3322"/>
          </w:tcPr>
          <w:p>
            <w:pPr>
              <w:pStyle w:val="null3"/>
            </w:pPr>
            <w:r>
              <w:rPr>
                <w:rFonts w:ascii="仿宋_GB2312" w:hAnsi="仿宋_GB2312" w:cs="仿宋_GB2312" w:eastAsia="仿宋_GB2312"/>
              </w:rPr>
              <w:t>法定代表人（或负责人）直接参加磋商的，须提供法定代表人（或负责人）身份证明及其身份证电子件或扫描件；法定代表人（或负责人）授权他人参加磋商的，须提供法定代表人（或负责人）授权委托书（附法定代表人（或负责人）、被授权人身份证电子件或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页面跳转至“中国执行信息公开网”http://zxgk.court.gov.cn/shixin/）和重大税收违法失信主体名单的供应商，不得为中国政府采购网（www.ccgp.gov.cn）政府采购严重违法失信行为记录名单中被财政部门禁止参加政府采购活动的供应商。 提供《供应商信用记录书面声明函》（按格式填写，提供原件）。经查，供应商未被列入“信用中国”网站记录的“失信被执行人”或“重大税收违法案件当事人”名单；不处于“中国政府采购网”记录的“政府采购严重违法失信行为记录名单 ”中的禁止参加政府采购活动期间 ；</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供应商书面声明</w:t>
            </w:r>
          </w:p>
        </w:tc>
        <w:tc>
          <w:tcPr>
            <w:tcW w:type="dxa" w:w="3322"/>
          </w:tcPr>
          <w:p>
            <w:pPr>
              <w:pStyle w:val="null3"/>
            </w:pPr>
            <w:r>
              <w:rPr>
                <w:rFonts w:ascii="仿宋_GB2312" w:hAnsi="仿宋_GB2312" w:cs="仿宋_GB2312" w:eastAsia="仿宋_GB2312"/>
              </w:rPr>
              <w:t>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供应商参与磋商的承诺函</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竞争性磋商响应文件的签署盖章</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响应文件封面 标的清单 符合性证明文件.docx 报价表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标的清单 符合性证明文件.docx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标的清单 符合性证明文件.docx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符合性证明文件.docx 响应函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无其他竞争性磋商文件或法律法规明确规定响应无效的事项</w:t>
            </w:r>
          </w:p>
        </w:tc>
        <w:tc>
          <w:tcPr>
            <w:tcW w:type="dxa" w:w="3322"/>
          </w:tcPr>
          <w:p>
            <w:pPr>
              <w:pStyle w:val="null3"/>
            </w:pPr>
            <w:r>
              <w:rPr>
                <w:rFonts w:ascii="仿宋_GB2312" w:hAnsi="仿宋_GB2312" w:cs="仿宋_GB2312" w:eastAsia="仿宋_GB2312"/>
              </w:rPr>
              <w:t>没有不符合竞争性磋商文件及法律法规规定的被视为无效响应的其他条款，不能有采购人不能接受的附加条件</w:t>
            </w:r>
          </w:p>
        </w:tc>
        <w:tc>
          <w:tcPr>
            <w:tcW w:type="dxa" w:w="1661"/>
          </w:tcPr>
          <w:p>
            <w:pPr>
              <w:pStyle w:val="null3"/>
            </w:pPr>
            <w:r>
              <w:rPr>
                <w:rFonts w:ascii="仿宋_GB2312" w:hAnsi="仿宋_GB2312" w:cs="仿宋_GB2312" w:eastAsia="仿宋_GB2312"/>
              </w:rPr>
              <w:t>标的清单 符合性证明文件.docx 报价表 响应函 资格证明文件.docx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机房硬件运维服务方案</w:t>
            </w:r>
          </w:p>
        </w:tc>
        <w:tc>
          <w:tcPr>
            <w:tcW w:type="dxa" w:w="2492"/>
          </w:tcPr>
          <w:p>
            <w:pPr>
              <w:pStyle w:val="null3"/>
            </w:pPr>
            <w:r>
              <w:rPr>
                <w:rFonts w:ascii="仿宋_GB2312" w:hAnsi="仿宋_GB2312" w:cs="仿宋_GB2312" w:eastAsia="仿宋_GB2312"/>
              </w:rPr>
              <w:t>基于对机房网络设备、服务器、存储、硬盘录像机系统架构全面了解，能够给出详细的系统架构、网络拓扑、组网方式并制定合理的运维服务。 方案完整、科学，可操作性强，得8分； 方案比较完整、科学，具备较强的可操作性，得7分； 方案相对完整，具备相对较强的可操作性，得6分； 方案基本完整，具备基本的可操作性，得5分； 方案简单笼统，可操作性不强，得4分； 方案、可操作性有欠缺，得3分； 方案有缺陷，可操作性差，得2分； 方案有重大缺陷，无可操作性，得1分；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运维质量保证措施</w:t>
            </w:r>
          </w:p>
        </w:tc>
        <w:tc>
          <w:tcPr>
            <w:tcW w:type="dxa" w:w="2492"/>
          </w:tcPr>
          <w:p>
            <w:pPr>
              <w:pStyle w:val="null3"/>
            </w:pPr>
            <w:r>
              <w:rPr>
                <w:rFonts w:ascii="仿宋_GB2312" w:hAnsi="仿宋_GB2312" w:cs="仿宋_GB2312" w:eastAsia="仿宋_GB2312"/>
              </w:rPr>
              <w:t>结合本项目实际情况，制定详细完整的服务质量保证措施，并提供明确的服务质量承诺； 措施详细完整、可行性、针对性强，得 7分； 措施比较完整，可行性及针对性较强，得 6分； 措施相对完整，有一定的可行性及针对性，得 5分； 保障措施基本完整、可行，得 4分； 措施、可行性措施简单，得 3 分； 措施简略，可行性存在不足，得 2分； 保障措施存在漏洞、合理性、可行性差，得 1 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运维检修工具、仪器、工程车辆配备情况</w:t>
            </w:r>
          </w:p>
        </w:tc>
        <w:tc>
          <w:tcPr>
            <w:tcW w:type="dxa" w:w="2492"/>
          </w:tcPr>
          <w:p>
            <w:pPr>
              <w:pStyle w:val="null3"/>
            </w:pPr>
            <w:r>
              <w:rPr>
                <w:rFonts w:ascii="仿宋_GB2312" w:hAnsi="仿宋_GB2312" w:cs="仿宋_GB2312" w:eastAsia="仿宋_GB2312"/>
              </w:rPr>
              <w:t>针对本项目运维提供的检修工具、设备仪器、车辆配备情况，根据配备情况合理性、齐全性进行赋分； 配置合理、满足本项目的服务要求，得 6 分； 配置比较合理、勉强满足本项目的服务要求，得 5 分； 配置相对合理、能满足本项目大部分的服务要求，得 4 分； 配置基本合理，能满足本项目的部分服务要求，得 3 分； 配置简单，本项目的服务要求有部分不能满足，得 2 分； 配置合理性差、不能满足项目要求，得 1 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重点和难点分析</w:t>
            </w:r>
          </w:p>
        </w:tc>
        <w:tc>
          <w:tcPr>
            <w:tcW w:type="dxa" w:w="2492"/>
          </w:tcPr>
          <w:p>
            <w:pPr>
              <w:pStyle w:val="null3"/>
            </w:pPr>
            <w:r>
              <w:rPr>
                <w:rFonts w:ascii="仿宋_GB2312" w:hAnsi="仿宋_GB2312" w:cs="仿宋_GB2312" w:eastAsia="仿宋_GB2312"/>
              </w:rPr>
              <w:t>针对本项目运维需求重点和难点进行分析，包括：①软件运维重点和难点分析；②硬件运维重点和难点分析，根据其完整性、科学性赋分； 本项共 6分。 每个单项内容详细完整、思路明晰合理、针对性强，得 3 分； 每个单项内容基本完整、思路基本合理、有一定针对性，得 2 分； 每个单项内容不完整、思路模糊、针对性差得 1 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总体运维服务方案</w:t>
            </w:r>
          </w:p>
        </w:tc>
        <w:tc>
          <w:tcPr>
            <w:tcW w:type="dxa" w:w="2492"/>
          </w:tcPr>
          <w:p>
            <w:pPr>
              <w:pStyle w:val="null3"/>
            </w:pPr>
            <w:r>
              <w:rPr>
                <w:rFonts w:ascii="仿宋_GB2312" w:hAnsi="仿宋_GB2312" w:cs="仿宋_GB2312" w:eastAsia="仿宋_GB2312"/>
              </w:rPr>
              <w:t>针对西安市鄠邑区秦岭保护智慧管控项目软、硬件运维服务提供运维服务方案，至少包括：① 总体服务方案；②软件运维方案；③硬件运维方案。 本项共9分。 每个单项内容详细完整、思路明晰合理、针对性强，得 3 分； 每个单项内容基本完整、思路基本合理、有一定针对性，得 2 分； 每个单项内容不完整、思路模糊、针对性差得 1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机房软件运维服务方案</w:t>
            </w:r>
          </w:p>
        </w:tc>
        <w:tc>
          <w:tcPr>
            <w:tcW w:type="dxa" w:w="2492"/>
          </w:tcPr>
          <w:p>
            <w:pPr>
              <w:pStyle w:val="null3"/>
            </w:pPr>
            <w:r>
              <w:rPr>
                <w:rFonts w:ascii="仿宋_GB2312" w:hAnsi="仿宋_GB2312" w:cs="仿宋_GB2312" w:eastAsia="仿宋_GB2312"/>
              </w:rPr>
              <w:t>基于对机房管理服务器、存储服务器、算法服务器、网络设备软件系统架构全面了解，能够给出详细的系统架构、端口映射、VLAN划分等软件方案并制定合理的运维服务。 方案完整、科学，可操作性强，得8分； 方案比较完整、科学，具备较强的可操作性，得7分； 方案相对完整，具备相对较强的可操作性，得6分； 方案基本完整，具备基本的可操作性，得5分； 方案简单笼统，可操作性不强，得4分； 方案、可操作性有欠缺，得3分； 方案有缺陷，可操作性差，得2分； 方案有重大缺陷，无可操作性，得1分；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运维项目前端的整体布局方案</w:t>
            </w:r>
          </w:p>
        </w:tc>
        <w:tc>
          <w:tcPr>
            <w:tcW w:type="dxa" w:w="2492"/>
          </w:tcPr>
          <w:p>
            <w:pPr>
              <w:pStyle w:val="null3"/>
            </w:pPr>
            <w:r>
              <w:rPr>
                <w:rFonts w:ascii="仿宋_GB2312" w:hAnsi="仿宋_GB2312" w:cs="仿宋_GB2312" w:eastAsia="仿宋_GB2312"/>
              </w:rPr>
              <w:t>对整个项目前端布局分布、系统架构拓扑、网络传输和硬件支撑平台拓扑有准确的描述，根据其完整性、科学性赋分。 方案完整、科学，可操作性强，得8分； 方案比较完整、科学，具备较强的可操作性，得7分； 方案相对完整，具备相对较强的可操作性，得6分； 方案基本完整，具备基本的可操作性，得5分； 方案简单笼统，可操作性不强，得4分； 方案、可操作性有欠缺，得3分； 方案有缺陷，可操作性差，得2分； 方案有重大缺陷，无可操作性，得1分；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备品备件方案</w:t>
            </w:r>
          </w:p>
        </w:tc>
        <w:tc>
          <w:tcPr>
            <w:tcW w:type="dxa" w:w="2492"/>
          </w:tcPr>
          <w:p>
            <w:pPr>
              <w:pStyle w:val="null3"/>
            </w:pPr>
            <w:r>
              <w:rPr>
                <w:rFonts w:ascii="仿宋_GB2312" w:hAnsi="仿宋_GB2312" w:cs="仿宋_GB2312" w:eastAsia="仿宋_GB2312"/>
              </w:rPr>
              <w:t>针对本项目运维提供有效、可行的备品、备件方案，包含针对本项目的备品、备件的管理处置流程，根据其完整性、科学性赋分。 方案完整、科学，可操作性强，得8分； 方案比较完整、科学，具备较强的可操作性，得7分； 方案相对完整，具备相对较强的可操作性，得6分； 方案基本完整，具备基本的可操作性，得5分； 方案简单笼统，可操作性不强，得4分； 方案、可操作性有欠缺，得3分； 方案有缺陷，可操作性差，得2分； 方案有重大缺陷，无可操作性，得1分；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拟投入本项目的人员配备</w:t>
            </w:r>
          </w:p>
        </w:tc>
        <w:tc>
          <w:tcPr>
            <w:tcW w:type="dxa" w:w="2492"/>
          </w:tcPr>
          <w:p>
            <w:pPr>
              <w:pStyle w:val="null3"/>
            </w:pPr>
            <w:r>
              <w:rPr>
                <w:rFonts w:ascii="仿宋_GB2312" w:hAnsi="仿宋_GB2312" w:cs="仿宋_GB2312" w:eastAsia="仿宋_GB2312"/>
              </w:rPr>
              <w:t>拟投入运维团队：网络工程师、软件技术、监控技术人员、施工人员若干名，根据岗位设置合理性、人员组织架构完整性进行赋分； 人员组织架构完整，岗位设置合理、明确，充分满足本项目采购要求得6 分； 人员组织架构比较完整，岗位设置比较合理，能够满足本项目采购要求得 5 分； 人员组织架构相对完整，岗位设置有一定的合理性，基本满 足本项目采购要求得4 分； 人员组织架构基本完整，岗位设置基本合理，基本满足本项 目采购要求得 3 分； 人员组织架构不够完善，岗位设置合理性一般，不能满足本项目采购要求得 2 分； 人员组织架构笼统简单，岗位设置不够合理得 1 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在满足采购人需求的基础上额外提供了合理化建议，根据其完整性、科学性赋分； 建议内容科学可行，有针对性且内容丰富，得 6 分； 建议内容较为可行，针对性较强，得 5 分； 建议内容相对可行，针对性相对较强，得 4 分； 建议内容基本可行，具有一定的针对性，得 3 分； 建议内容笼统简单，有针对性，得 2 分； 建议内容存在漏洞，不具备针对性，得 1 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供应商针对本项目提供应急预案，包括但不限于①应急事件处理；②特殊时段保障预案；③应急响应时间等内容。 本项共 9分。 每个单项内容详细完整、思路明晰合理、针对性强，得 3 分； 每个单项内容基本完整、思路基本合理、有一定针对性，得 2 分； 每个单项内容不完整、思路模糊、针对性差得 1 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安全、保密方案</w:t>
            </w:r>
          </w:p>
        </w:tc>
        <w:tc>
          <w:tcPr>
            <w:tcW w:type="dxa" w:w="2492"/>
          </w:tcPr>
          <w:p>
            <w:pPr>
              <w:pStyle w:val="null3"/>
            </w:pPr>
            <w:r>
              <w:rPr>
                <w:rFonts w:ascii="仿宋_GB2312" w:hAnsi="仿宋_GB2312" w:cs="仿宋_GB2312" w:eastAsia="仿宋_GB2312"/>
              </w:rPr>
              <w:t>根据供应商针对本项目提供的安全、保密管理方案，包括：①安全管理方案及措施；②保密管理方案及措施； 本项共 6分。 每个单项内容详细完整、思路明晰合理、针对性强，得 3 分； 每个单项内容基本完整、思路基本合理、有一定针对性，得 2 分； 每个单项内容不完整、思路模糊、针对性差得 1 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提供供应商2022年1月至今类似业绩合同（以合同签订时间为准），每提供一份得1分，最高得3分，未提供不得分。 评审标准：提供完整合同扫描件加盖供应商公章。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1、经初审合格的竞争性磋商响应文件，其磋商报价为有效磋商报价。 2、满足竞争性磋商文件实质性要求且最终报价最低的供应商的价格为磋商基准价，其价格分为满分10分。 3、磋商报价得分=（磋商基准价/最终磋商报价）×10。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符合性证明文件.docx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详见附件：符合性证明文件.docx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