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版本号：FT2025-CGZB-05280120250529001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鄠邑区2025年中央水利发展资金农村饮水工程维修养护项目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FT2025-CGZB-052801</w:t>
      </w:r>
      <w:r>
        <w:br/>
      </w:r>
      <w:r>
        <w:br/>
      </w:r>
      <w:r>
        <w:br/>
      </w:r>
    </w:p>
    <w:p>
      <w:pPr>
        <w:pStyle w:val="null3"/>
        <w:jc w:val="center"/>
        <w:outlineLvl w:val="2"/>
      </w:pPr>
      <w:r>
        <w:rPr>
          <w:rFonts w:ascii="仿宋_GB2312" w:hAnsi="仿宋_GB2312" w:cs="仿宋_GB2312" w:eastAsia="仿宋_GB2312"/>
          <w:sz w:val="28"/>
          <w:b/>
        </w:rPr>
        <w:t>西安市鄠邑区农村供水管理中心</w:t>
      </w:r>
    </w:p>
    <w:p>
      <w:pPr>
        <w:pStyle w:val="null3"/>
        <w:jc w:val="center"/>
        <w:outlineLvl w:val="2"/>
      </w:pPr>
      <w:r>
        <w:rPr>
          <w:rFonts w:ascii="仿宋_GB2312" w:hAnsi="仿宋_GB2312" w:cs="仿宋_GB2312" w:eastAsia="仿宋_GB2312"/>
          <w:sz w:val="28"/>
          <w:b/>
        </w:rPr>
        <w:t>陕西奋泰项目管理有限公司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陕西奋泰项目管理有限公司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西安市鄠邑区农村供水管理中心</w:t>
      </w:r>
      <w:r>
        <w:rPr>
          <w:rFonts w:ascii="仿宋_GB2312" w:hAnsi="仿宋_GB2312" w:cs="仿宋_GB2312" w:eastAsia="仿宋_GB2312"/>
        </w:rPr>
        <w:t>委托，拟对</w:t>
      </w:r>
      <w:r>
        <w:rPr>
          <w:rFonts w:ascii="仿宋_GB2312" w:hAnsi="仿宋_GB2312" w:cs="仿宋_GB2312" w:eastAsia="仿宋_GB2312"/>
        </w:rPr>
        <w:t>鄠邑区2025年中央水利发展资金农村饮水工程维修养护项目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FT2025-CGZB-052801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鄠邑区2025年中央水利发展资金农村饮水工程维修养护项目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对鄂邑区农村饮水工程管网进行维修养护和更换，饮水工程设施机电设备维修养护和更换，饮水工程净化和消毒设备维修养护，水质化验设备维修养护及药剂采购等。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采购包1（鄠邑区2025年中央水利发展资金农村饮水工程维修养护项目）：属于专门面向中小企业采购。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2、财务状况报告：提供具有财务审计资质单位出具的 2023或2024年度的财务报告或成立时间不足一年的可提供磋商前六个月内其开户银行出具的资信证明及银行开户证明；</w:t>
      </w:r>
    </w:p>
    <w:p>
      <w:pPr>
        <w:pStyle w:val="null3"/>
      </w:pPr>
      <w:r>
        <w:rPr>
          <w:rFonts w:ascii="仿宋_GB2312" w:hAnsi="仿宋_GB2312" w:cs="仿宋_GB2312" w:eastAsia="仿宋_GB2312"/>
        </w:rPr>
        <w:t>3、税收缴纳证明：提供磋商截止日期前已缴纳的至少一个月的纳税证明或完税证明(任意税种)，依法免税的单位应提供相关证明材料；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4、社会保障资金缴纳证明：提供磋商截止日期前已缴存的至少一个月的社会保障资金缴存凭证或社保机构开具的社会保险参保证明，依法不需要缴纳社会保障资金的单位应提供相关证明材料；</w:t>
      </w:r>
    </w:p>
    <w:p>
      <w:pPr>
        <w:pStyle w:val="null3"/>
      </w:pPr>
      <w:r>
        <w:rPr>
          <w:rFonts w:ascii="仿宋_GB2312" w:hAnsi="仿宋_GB2312" w:cs="仿宋_GB2312" w:eastAsia="仿宋_GB2312"/>
        </w:rPr>
        <w:t>5、书面声明：提供参加本次采购活动前 3年内，在经营活动中没有重大违法记录的书面声明；</w:t>
      </w:r>
    </w:p>
    <w:p>
      <w:pPr>
        <w:pStyle w:val="null3"/>
      </w:pPr>
      <w:r>
        <w:rPr>
          <w:rFonts w:ascii="仿宋_GB2312" w:hAnsi="仿宋_GB2312" w:cs="仿宋_GB2312" w:eastAsia="仿宋_GB2312"/>
        </w:rPr>
        <w:t>6、信誉情况：供应商不得为“信用中国”网站(www.creditchina.gov.cn) 中列入失信被执行人和重大税收违法案件当事人名单的供应商， 不得为“中国政府采购网”(www.ccgp. gov.cn) 政府采购严重违法失信行为记录名单中被财政部门禁止参加政府采购活动的供应商。</w:t>
      </w:r>
    </w:p>
    <w:p>
      <w:pPr>
        <w:pStyle w:val="null3"/>
      </w:pPr>
      <w:r>
        <w:rPr>
          <w:rFonts w:ascii="仿宋_GB2312" w:hAnsi="仿宋_GB2312" w:cs="仿宋_GB2312" w:eastAsia="仿宋_GB2312"/>
        </w:rPr>
        <w:t>7、授权委托书：法定代表人直接参加磋商的，须出具法定代表人身份证明书及身份证； 法定代表人授权代表参加磋商的，须出具法定代表人授权委托书及授权代表身份证；</w:t>
      </w:r>
    </w:p>
    <w:p>
      <w:pPr>
        <w:pStyle w:val="null3"/>
      </w:pPr>
      <w:r>
        <w:rPr>
          <w:rFonts w:ascii="仿宋_GB2312" w:hAnsi="仿宋_GB2312" w:cs="仿宋_GB2312" w:eastAsia="仿宋_GB2312"/>
        </w:rPr>
        <w:t>8、项目经理：拟派项目经理须具备有效的的水利水电工程专业二级（含二级）以上建造师注册证，具备水利行政主管部门颁发的安全生产考核合格证（B证），且在本单位注册，无在建工程；</w:t>
      </w:r>
    </w:p>
    <w:p>
      <w:pPr>
        <w:pStyle w:val="null3"/>
      </w:pPr>
      <w:r>
        <w:rPr>
          <w:rFonts w:ascii="仿宋_GB2312" w:hAnsi="仿宋_GB2312" w:cs="仿宋_GB2312" w:eastAsia="仿宋_GB2312"/>
        </w:rPr>
        <w:t>9、企业资质：供应商须具备建设行政主管部门颁发的水利水电工程施工总承包三级以上资质（包含三级） ，并具有有效的安全生产许可证；</w:t>
      </w:r>
    </w:p>
    <w:p>
      <w:pPr>
        <w:pStyle w:val="null3"/>
      </w:pPr>
      <w:r>
        <w:rPr>
          <w:rFonts w:ascii="仿宋_GB2312" w:hAnsi="仿宋_GB2312" w:cs="仿宋_GB2312" w:eastAsia="仿宋_GB2312"/>
        </w:rPr>
        <w:t>10、中小企业声明函：本项目专门面向中小企业采购（提供中小企业声明函）</w:t>
      </w:r>
    </w:p>
    <w:p>
      <w:pPr>
        <w:pStyle w:val="null3"/>
      </w:pPr>
      <w:r>
        <w:rPr>
          <w:rFonts w:ascii="仿宋_GB2312" w:hAnsi="仿宋_GB2312" w:cs="仿宋_GB2312" w:eastAsia="仿宋_GB2312"/>
        </w:rPr>
        <w:t>11、非联合体承诺书：本项目不接受联合体供应商，单位负责人为同一人或者存在控股、管理关系的不同单位不得同时参加；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西安市鄠邑区农村供水管理中心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西安市鄠邑区水务局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西安市鄠邑区农村供水管理中心经办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13572295398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陕西奋泰项目管理有限公司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陕西省西安市经济技术开发区正尚国际金融广场B座805室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18829205929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 2002 年颁发的《招标代理服务收费管理暂行办法》(计价格〔2002〕1980 号)、国家发展改革委员会办公厅颁发的《关于招标代理服务费收费有关问题的通知》 (发改办价格〔2003〕857号)及《调整后的招标代理服务收费标准》 (发改价格〔2011〕534号)的规定。成交供应商在领取《成交通知书》前，须向采购代理机构一次性支付招标代理服务费。代理费账户信息：公司名称：陕西奋泰项目管理有限公司；账号: 61050164831500002007；开户行：中国建设银行股份有限公司富平县东新街支行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西安市鄠邑区农村供水管理中心</w:t>
      </w:r>
      <w:r>
        <w:rPr>
          <w:rFonts w:ascii="仿宋_GB2312" w:hAnsi="仿宋_GB2312" w:cs="仿宋_GB2312" w:eastAsia="仿宋_GB2312"/>
        </w:rPr>
        <w:t>和</w:t>
      </w:r>
      <w:r>
        <w:rPr>
          <w:rFonts w:ascii="仿宋_GB2312" w:hAnsi="仿宋_GB2312" w:cs="仿宋_GB2312" w:eastAsia="仿宋_GB2312"/>
        </w:rPr>
        <w:t>陕西奋泰项目管理有限公司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西安市鄠邑区农村供水管理中心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陕西奋泰项目管理有限公司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西安市鄠邑区农村供水管理中心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陕西奋泰项目管理有限公司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陕西奋泰项目管理有限公司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陕西奋泰项目管理有限公司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陕西奋泰项目管理有限公司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w:t>
      </w:r>
    </w:p>
    <w:p>
      <w:pPr>
        <w:pStyle w:val="null3"/>
      </w:pPr>
      <w:r>
        <w:rPr>
          <w:rFonts w:ascii="仿宋_GB2312" w:hAnsi="仿宋_GB2312" w:cs="仿宋_GB2312" w:eastAsia="仿宋_GB2312"/>
        </w:rPr>
        <w:t>联系电话：18829205929</w:t>
      </w:r>
    </w:p>
    <w:p>
      <w:pPr>
        <w:pStyle w:val="null3"/>
      </w:pPr>
      <w:r>
        <w:rPr>
          <w:rFonts w:ascii="仿宋_GB2312" w:hAnsi="仿宋_GB2312" w:cs="仿宋_GB2312" w:eastAsia="仿宋_GB2312"/>
        </w:rPr>
        <w:t>地址：陕西省渭南市富平县温泉南路144号</w:t>
      </w:r>
    </w:p>
    <w:p>
      <w:pPr>
        <w:pStyle w:val="null3"/>
      </w:pPr>
      <w:r>
        <w:rPr>
          <w:rFonts w:ascii="仿宋_GB2312" w:hAnsi="仿宋_GB2312" w:cs="仿宋_GB2312" w:eastAsia="仿宋_GB2312"/>
        </w:rPr>
        <w:t>邮编：1223502368@qq.com</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948,872.00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供水管道，消毒设备，加压设备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标的名称：供水管道，消毒设备，加压设备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1、满足采购人要求；2、工期120日历天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提交一正二副，书籍(胶装)方式装订的盖章的纸质文件，若正本和副本不一致的，以正本为准。送至陕西省渭南市富平县温泉南路144号。2、供应商务必在开标截止时间30分钟前，通过项目电子化交易系统进行签到，如未进行签到，产生的一切后果由供应商自行承担。3、供应商的磋商报价包括施工机械使用费、人工费、材料与设备费、其他(运杂费、质检费、安装费、缺陷修复费、保险费，以及合同明示或暗示的风险、责任和义务等)，以及管理费、税金、利润、采购代理服务费、造价咨询费等所有费用，并符合建设工程计价规则。 4、签名是指手写签名或者加盖名章，盖章是指加盖单位印章。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供应商控股、管理关系声明.docx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 2023或2024年度的财务报告或成立时间不足一年的可提供磋商前六个月内其开户银行出具的资信证明及银行开户证明；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提供磋商截止日期前已缴纳的至少一个月的纳税证明或完税证明(任意税种)，依法免税的单位应提供相关证明材料；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提供磋商截止日期前已缴存的至少一个月的社会保障资金缴存凭证或社保机构开具的社会保险参保证明，依法不需要缴纳社会保障资金的单位应提供相关证明材料；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提供参加本次采购活动前 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中列入失信被执行人和重大税收违法案件当事人名单的供应商， 不得为“中国政府采购网”(www.ccgp. 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 法定代表人授权代表参加磋商的，须出具法定代表人授权委托书及授权代表身份证；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拟派项目经理须具备有效的的水利水电工程专业二级（含二级）以上建造师注册证，具备水利行政主管部门颁发的安全生产考核合格证（B证），且在本单位注册，无在建工程；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供应商须具备建设行政主管部门颁发的水利水电工程施工总承包三级以上资质（包含三级） ，并具有有效的安全生产许可证；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项目管理机构组成表 中小企业声明函 供应商应提交的相关资格证明材料 主要人员简历表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本项目不接受联合体供应商，单位负责人为同一人或者存在控股、管理关系的不同单位不得同时参加；</w:t>
            </w:r>
          </w:p>
        </w:tc>
        <w:tc>
          <w:tcPr>
            <w:tcW w:type="dxa" w:w="1661"/>
          </w:tcPr>
          <w:p>
            <w:pPr>
              <w:pStyle w:val="null3"/>
            </w:pPr>
            <w:r>
              <w:rPr>
                <w:rFonts w:ascii="仿宋_GB2312" w:hAnsi="仿宋_GB2312" w:cs="仿宋_GB2312" w:eastAsia="仿宋_GB2312"/>
              </w:rPr>
              <w:t>非联合体承诺.docx 供应商应提交的相关资格证明材料 供应商控股、管理关系声明.docx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供应商控股、管理关系声明.docx 强制优先采购产品承诺函 响应方案.docx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（1）磋商报价符合唯一性要求；（2）第一次磋商报价表填写符合要求；（3）计量单位、报价货币均符合磋商文件要求；（4）未超过采购预算或磋商文件规定的最高限价。</w:t>
            </w:r>
          </w:p>
        </w:tc>
        <w:tc>
          <w:tcPr>
            <w:tcW w:type="dxa" w:w="1661"/>
          </w:tcPr>
          <w:p>
            <w:pPr>
              <w:pStyle w:val="null3"/>
            </w:pPr>
            <w:r>
              <w:rPr>
                <w:rFonts w:ascii="仿宋_GB2312" w:hAnsi="仿宋_GB2312" w:cs="仿宋_GB2312" w:eastAsia="仿宋_GB2312"/>
              </w:rPr>
              <w:t>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根据供应商结合工程特点，制定施工方案、方法与技术措施内容进行综合评审。评分区间为优得4-6分；良得2-4分；一般得0-2分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根据供应商针对本项目配备的项目部人员组成进行综合评审。评分区间为优得4-6分；良得2-4分；一般得0-2分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根据供应商针对本项目提供的质量管理体系与措施进行综合评审。评分区间为优得4-6分；良得2-4分；一般得0-2分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根据供应商提供的工期横道图、工期计划和保证措施等进行综合评审。评分区间为优得4-6分；良得2-4分；一般得0-2分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主要材料和设备选用情况</w:t>
            </w:r>
          </w:p>
        </w:tc>
        <w:tc>
          <w:tcPr>
            <w:tcW w:type="dxa" w:w="2492"/>
          </w:tcPr>
          <w:p>
            <w:pPr>
              <w:pStyle w:val="null3"/>
            </w:pPr>
            <w:r>
              <w:rPr>
                <w:rFonts w:ascii="仿宋_GB2312" w:hAnsi="仿宋_GB2312" w:cs="仿宋_GB2312" w:eastAsia="仿宋_GB2312"/>
              </w:rPr>
              <w:t>根据供应商针对本项目提供的主要材料、设备的品牌、型号、厂家信息及质量相关证明材料进行综合评审。评分区间为优得4-6分；良得2-4分；一般得0-2分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根据供应商提供的安全管理体系与措施、安全预案等进行综合评审。评分区间为优得4-6分；良得2-4分；一般得0-2分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根据供应商提供的环境保护管理体系与措施进行综合评审。评分区间为优得4-6分；良得2-4分；一般得0-2分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劳动力计划安排及设备配置</w:t>
            </w:r>
          </w:p>
        </w:tc>
        <w:tc>
          <w:tcPr>
            <w:tcW w:type="dxa" w:w="2492"/>
          </w:tcPr>
          <w:p>
            <w:pPr>
              <w:pStyle w:val="null3"/>
            </w:pPr>
            <w:r>
              <w:rPr>
                <w:rFonts w:ascii="仿宋_GB2312" w:hAnsi="仿宋_GB2312" w:cs="仿宋_GB2312" w:eastAsia="仿宋_GB2312"/>
              </w:rPr>
              <w:t>根据施工进度需求、劳动力计划安排及设备配置进行综合评审。 评分区间为优得4-6分；良得2-4分；一般得0-2分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根据供应商提出的对提高工程质量、加快工程进度、降低工程成本的合理化建议进行评审。 评分区间为优得4-6分；良得2-4分；一般得0-2分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1）供应商近三年（2022年至今)有类似项目的,每有一个得1分，满分得3分。2）项目经理近三年(2022年至今）有类似项目的,每有一个得1.5分，满分得3分。 注:业绩需附中标通知书或合同协议书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满足磋商文件要求且最终报价最低的供应商的价格为磋商基准价，其价格分为满分。其它供应商的价格分统一按照下列公式计算：磋商报价得分=(磋商基准价/最终磋商报价) ×价格权值×100。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详见附件：供应商控股、管理关系声明.docx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详见附件：非联合体承诺.docx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