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版本号：SDZC2025-079.1B120250530001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第三方机构医保基金飞行检查项目(二次)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SDZC2025-079.1B1</w:t>
      </w:r>
      <w:r>
        <w:br/>
      </w:r>
      <w:r>
        <w:br/>
      </w:r>
      <w:r>
        <w:br/>
      </w:r>
    </w:p>
    <w:p>
      <w:pPr>
        <w:pStyle w:val="null3"/>
        <w:jc w:val="center"/>
        <w:outlineLvl w:val="2"/>
      </w:pPr>
      <w:r>
        <w:rPr>
          <w:rFonts w:ascii="仿宋_GB2312" w:hAnsi="仿宋_GB2312" w:cs="仿宋_GB2312" w:eastAsia="仿宋_GB2312"/>
          <w:sz w:val="28"/>
          <w:b/>
        </w:rPr>
        <w:t>西安市鄠邑区医疗保障局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西安市鄠邑区医疗保障局</w:t>
      </w:r>
      <w:r>
        <w:rPr>
          <w:rFonts w:ascii="仿宋_GB2312" w:hAnsi="仿宋_GB2312" w:cs="仿宋_GB2312" w:eastAsia="仿宋_GB2312"/>
        </w:rPr>
        <w:t>委托，拟对</w:t>
      </w:r>
      <w:r>
        <w:rPr>
          <w:rFonts w:ascii="仿宋_GB2312" w:hAnsi="仿宋_GB2312" w:cs="仿宋_GB2312" w:eastAsia="仿宋_GB2312"/>
        </w:rPr>
        <w:t>第三方机构医保基金飞行检查项目(二次)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SDZC2025-079.1B1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第三方机构医保基金飞行检查项目(二次)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鄠邑区医疗保障局的指导授权下，以第三方身份对鄠邑区全区一、二级定点医疗机构、卫生院、卫生室、定点零售药店开展现场检查、数据分析、行业特点分析、数据监测、规范培训、DRG付费监管与检查分析、门诊统筹监管分析、普通门诊监管分析、门诊慢病监管分析、基金支出运行分析等，确保医保基金的安全和规范医药机构服务行为，切实提高群众满意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采购包1（第三方机构医保基金飞行检查）：属于专门面向中小企业采购。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雒展飞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029-89019329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曹幸（4号工位）、张爱君、魏蕾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转8033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西安市鄠邑区医疗保障局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联系人：曹幸（4号工位）</w:t>
      </w:r>
    </w:p>
    <w:p>
      <w:pPr>
        <w:pStyle w:val="null3"/>
      </w:pPr>
      <w:r>
        <w:rPr>
          <w:rFonts w:ascii="仿宋_GB2312" w:hAnsi="仿宋_GB2312" w:cs="仿宋_GB2312" w:eastAsia="仿宋_GB2312"/>
        </w:rPr>
        <w:t>联系电话：029-86673953、86518381、89299829、89293231转8004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鄠邑区医疗保障局的指导授权下，以第三方身份对鄠邑区全区一、二级定点医疗机构、卫生院、卫生室、定点零售药店开展现场检查、数据分析、行业特点分析、数据监测、规范培训、DRG付费监管与检查分析、门诊统筹监管分析、普通门诊监管分析、门诊慢病监管分析、基金支出运行分析等，确保医保基金的安全和规范医药机构服务行为，切实提高群众满意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第三方机构医保基金飞行检查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标的名称：第三方机构医保基金飞行检查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在鄠邑区医疗保障局的指导授权下，以第三方身份对鄠邑区全区一</w:t>
            </w:r>
            <w:r>
              <w:rPr>
                <w:rFonts w:ascii="仿宋_GB2312" w:hAnsi="仿宋_GB2312" w:cs="仿宋_GB2312" w:eastAsia="仿宋_GB2312"/>
                <w:sz w:val="24"/>
              </w:rPr>
              <w:t>、</w:t>
            </w:r>
            <w:r>
              <w:rPr>
                <w:rFonts w:ascii="仿宋_GB2312" w:hAnsi="仿宋_GB2312" w:cs="仿宋_GB2312" w:eastAsia="仿宋_GB2312"/>
                <w:sz w:val="24"/>
              </w:rPr>
              <w:t>二级</w:t>
            </w:r>
            <w:r>
              <w:rPr>
                <w:rFonts w:ascii="仿宋_GB2312" w:hAnsi="仿宋_GB2312" w:cs="仿宋_GB2312" w:eastAsia="仿宋_GB2312"/>
                <w:sz w:val="24"/>
              </w:rPr>
              <w:t>定点</w:t>
            </w:r>
            <w:r>
              <w:rPr>
                <w:rFonts w:ascii="仿宋_GB2312" w:hAnsi="仿宋_GB2312" w:cs="仿宋_GB2312" w:eastAsia="仿宋_GB2312"/>
                <w:sz w:val="24"/>
              </w:rPr>
              <w:t>医疗机构、卫生院、卫生室、</w:t>
            </w:r>
            <w:r>
              <w:rPr>
                <w:rFonts w:ascii="仿宋_GB2312" w:hAnsi="仿宋_GB2312" w:cs="仿宋_GB2312" w:eastAsia="仿宋_GB2312"/>
                <w:sz w:val="24"/>
              </w:rPr>
              <w:t>定点</w:t>
            </w:r>
            <w:r>
              <w:rPr>
                <w:rFonts w:ascii="仿宋_GB2312" w:hAnsi="仿宋_GB2312" w:cs="仿宋_GB2312" w:eastAsia="仿宋_GB2312"/>
                <w:sz w:val="24"/>
              </w:rPr>
              <w:t>零售药店开展现场检查、数据分析、行业特点分析、数据监测、规范培训、</w:t>
            </w:r>
            <w:r>
              <w:rPr>
                <w:rFonts w:ascii="仿宋_GB2312" w:hAnsi="仿宋_GB2312" w:cs="仿宋_GB2312" w:eastAsia="仿宋_GB2312"/>
                <w:sz w:val="24"/>
              </w:rPr>
              <w:t>DRG付费监管与检查分析、门诊统筹监管分析、普通门诊监管分析、门诊慢病监管分析、基金支出运行分析等，确保医保基金的安全和规范医药机构服务行为，切实提高群众满意度。</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、辖区定点医院住院业务医保基金数据分析；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、辖区定点</w:t>
            </w:r>
            <w:r>
              <w:rPr>
                <w:rFonts w:ascii="仿宋_GB2312" w:hAnsi="仿宋_GB2312" w:cs="仿宋_GB2312" w:eastAsia="仿宋_GB2312"/>
                <w:sz w:val="24"/>
              </w:rPr>
              <w:t>医院普通门诊业务</w:t>
            </w:r>
            <w:r>
              <w:rPr>
                <w:rFonts w:ascii="仿宋_GB2312" w:hAnsi="仿宋_GB2312" w:cs="仿宋_GB2312" w:eastAsia="仿宋_GB2312"/>
                <w:sz w:val="24"/>
              </w:rPr>
              <w:t>医保基金数据分析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、辖区定点</w:t>
            </w:r>
            <w:r>
              <w:rPr>
                <w:rFonts w:ascii="仿宋_GB2312" w:hAnsi="仿宋_GB2312" w:cs="仿宋_GB2312" w:eastAsia="仿宋_GB2312"/>
                <w:sz w:val="24"/>
              </w:rPr>
              <w:t>医院的门诊慢性病业务</w:t>
            </w:r>
            <w:r>
              <w:rPr>
                <w:rFonts w:ascii="仿宋_GB2312" w:hAnsi="仿宋_GB2312" w:cs="仿宋_GB2312" w:eastAsia="仿宋_GB2312"/>
                <w:sz w:val="24"/>
              </w:rPr>
              <w:t>医保基金数据分析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、辖区定点</w:t>
            </w:r>
            <w:r>
              <w:rPr>
                <w:rFonts w:ascii="仿宋_GB2312" w:hAnsi="仿宋_GB2312" w:cs="仿宋_GB2312" w:eastAsia="仿宋_GB2312"/>
                <w:sz w:val="24"/>
              </w:rPr>
              <w:t>药店门诊慢病购药</w:t>
            </w:r>
            <w:r>
              <w:rPr>
                <w:rFonts w:ascii="仿宋_GB2312" w:hAnsi="仿宋_GB2312" w:cs="仿宋_GB2312" w:eastAsia="仿宋_GB2312"/>
                <w:sz w:val="24"/>
              </w:rPr>
              <w:t>医保基金数据分析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、辖区定点</w:t>
            </w:r>
            <w:r>
              <w:rPr>
                <w:rFonts w:ascii="仿宋_GB2312" w:hAnsi="仿宋_GB2312" w:cs="仿宋_GB2312" w:eastAsia="仿宋_GB2312"/>
                <w:sz w:val="24"/>
              </w:rPr>
              <w:t>药店普通门诊购药</w:t>
            </w:r>
            <w:r>
              <w:rPr>
                <w:rFonts w:ascii="仿宋_GB2312" w:hAnsi="仿宋_GB2312" w:cs="仿宋_GB2312" w:eastAsia="仿宋_GB2312"/>
                <w:sz w:val="24"/>
              </w:rPr>
              <w:t>医保基金数据分析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、辖区定点诊所（门诊部）、定点</w:t>
            </w:r>
            <w:r>
              <w:rPr>
                <w:rFonts w:ascii="仿宋_GB2312" w:hAnsi="仿宋_GB2312" w:cs="仿宋_GB2312" w:eastAsia="仿宋_GB2312"/>
                <w:sz w:val="24"/>
              </w:rPr>
              <w:t>卫生室</w:t>
            </w:r>
            <w:r>
              <w:rPr>
                <w:rFonts w:ascii="仿宋_GB2312" w:hAnsi="仿宋_GB2312" w:cs="仿宋_GB2312" w:eastAsia="仿宋_GB2312"/>
                <w:sz w:val="24"/>
              </w:rPr>
              <w:t>医保基金数据分析；</w:t>
            </w:r>
          </w:p>
          <w:p>
            <w:pPr>
              <w:pStyle w:val="null3"/>
              <w:ind w:firstLine="480"/>
              <w:jc w:val="both"/>
            </w:pPr>
            <w:r>
              <w:rPr>
                <w:rFonts w:ascii="仿宋_GB2312" w:hAnsi="仿宋_GB2312" w:cs="仿宋_GB2312" w:eastAsia="仿宋_GB2312"/>
                <w:sz w:val="24"/>
              </w:rPr>
              <w:t>7、协助开展“双随机·一公开”现场检查定点医药机构全覆盖；</w:t>
            </w:r>
          </w:p>
          <w:p>
            <w:pPr>
              <w:pStyle w:val="null3"/>
              <w:ind w:firstLine="480"/>
              <w:jc w:val="both"/>
            </w:pPr>
            <w:r>
              <w:rPr>
                <w:rFonts w:ascii="仿宋_GB2312" w:hAnsi="仿宋_GB2312" w:cs="仿宋_GB2312" w:eastAsia="仿宋_GB2312"/>
                <w:sz w:val="24"/>
              </w:rPr>
              <w:t>8、协助开展有住院结算业务的二级定点医疗机构及一级定点医疗机构（不含卫生院）80%以上现场检查；</w:t>
            </w:r>
          </w:p>
          <w:p>
            <w:pPr>
              <w:pStyle w:val="null3"/>
              <w:ind w:firstLine="480"/>
              <w:jc w:val="both"/>
            </w:pPr>
            <w:r>
              <w:rPr>
                <w:rFonts w:ascii="仿宋_GB2312" w:hAnsi="仿宋_GB2312" w:cs="仿宋_GB2312" w:eastAsia="仿宋_GB2312"/>
                <w:sz w:val="24"/>
              </w:rPr>
              <w:t>9、协助开展上级医保部门反馈线索现场核查工作。</w:t>
            </w:r>
          </w:p>
          <w:p>
            <w:pPr>
              <w:pStyle w:val="null3"/>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（一）服务团队要求</w:t>
            </w:r>
          </w:p>
          <w:p>
            <w:pPr>
              <w:pStyle w:val="null3"/>
              <w:ind w:firstLine="480"/>
              <w:jc w:val="both"/>
            </w:pPr>
            <w:r>
              <w:rPr>
                <w:rFonts w:ascii="仿宋_GB2312" w:hAnsi="仿宋_GB2312" w:cs="仿宋_GB2312" w:eastAsia="仿宋_GB2312"/>
                <w:sz w:val="24"/>
              </w:rPr>
              <w:t>需具备专业的熟悉医保基本政策的现场检查团队，人员主要包括医疗专家、医疗项目收费专家、数据分析及统计专家等。</w:t>
            </w:r>
          </w:p>
          <w:p>
            <w:pPr>
              <w:pStyle w:val="null3"/>
              <w:ind w:firstLine="480"/>
              <w:jc w:val="both"/>
            </w:pPr>
            <w:r>
              <w:rPr>
                <w:rFonts w:ascii="仿宋_GB2312" w:hAnsi="仿宋_GB2312" w:cs="仿宋_GB2312" w:eastAsia="仿宋_GB2312"/>
                <w:sz w:val="24"/>
              </w:rPr>
              <w:t>（二）进度要求</w:t>
            </w:r>
          </w:p>
          <w:p>
            <w:pPr>
              <w:pStyle w:val="null3"/>
              <w:ind w:firstLine="480"/>
              <w:jc w:val="both"/>
            </w:pPr>
            <w:r>
              <w:rPr>
                <w:rFonts w:ascii="仿宋_GB2312" w:hAnsi="仿宋_GB2312" w:cs="仿宋_GB2312" w:eastAsia="仿宋_GB2312"/>
                <w:sz w:val="24"/>
              </w:rPr>
              <w:t>根据鄠邑区医疗保障局工作要求，经协商后按照工作任务和阶段划分在规定时限内完成数据分析、现场协助检查工作，并及时交付经确认后的各项数据、材料信息。</w:t>
            </w:r>
          </w:p>
          <w:p>
            <w:pPr>
              <w:pStyle w:val="null3"/>
              <w:ind w:firstLine="480"/>
              <w:jc w:val="both"/>
            </w:pPr>
            <w:r>
              <w:rPr>
                <w:rFonts w:ascii="仿宋_GB2312" w:hAnsi="仿宋_GB2312" w:cs="仿宋_GB2312" w:eastAsia="仿宋_GB2312"/>
                <w:sz w:val="24"/>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鄠邑区医疗保障局及两定机构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2.未按合同要求提供服务质量不能满足技术要求，采购人有权终止合同，并对供应商违约行为进行追究，同时按《中华人民共和国政府采购法》的有关规定进行处罚。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《拒绝政府采购领域商业贿赂承诺书》.docx 中小企业声明函 供应商参与政府采购活动的承诺函.docx 标的清单 报价表 商务条款响应偏离表.docx 响应函 服务条款响应偏离表.docx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中小企业声明函 供应商参与政府采购活动的承诺函.docx 标的清单 承诺书.docx 商务条款响应偏离表.docx 报价表 响应函 服务条款响应偏离表.docx 资格证明文件.docx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供应商有必要说明的其他事项.docx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医保住院业务监管服务方案得分、医保门诊业务监管服务方案得分顺序推荐。若上述得分均相同，则由全体磋商小组成员无记名投票，得票高者为第一成交候选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医保住院业务监管服务方案</w:t>
            </w:r>
          </w:p>
        </w:tc>
        <w:tc>
          <w:tcPr>
            <w:tcW w:type="dxa" w:w="2492"/>
          </w:tcPr>
          <w:p>
            <w:pPr>
              <w:pStyle w:val="null3"/>
            </w:pPr>
            <w:r>
              <w:rPr>
                <w:rFonts w:ascii="仿宋_GB2312" w:hAnsi="仿宋_GB2312" w:cs="仿宋_GB2312" w:eastAsia="仿宋_GB2312"/>
              </w:rPr>
              <w:t>针对本项目提供医保住院业务监管服务方案，包括但不限于需求及医保费用审核的理解、监管方法体系、数据分析、现场检查、工作措施等。 ①方案内容详细全面，各项内容完善具体，计8分； ②方案内容全面，但未针对各项内容进行详细描述或措施不具体的，计6分； ③针对以上方案要求，有1项欠缺或整体仅有粗略框架，无具体针对性内容的，计4分； ④针对以上方案要求，有2项欠缺的，计2分； ⑤有3项及以上欠缺或方案逻辑混乱、出现常识性错误、存在不适用项目实际情况的情形的，计1分；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医保住院业务监管服务方案.docx</w:t>
            </w:r>
          </w:p>
        </w:tc>
      </w:tr>
      <w:tr>
        <w:tc>
          <w:tcPr>
            <w:tcW w:type="dxa" w:w="831"/>
            <w:vMerge/>
          </w:tcPr>
          <w:p/>
        </w:tc>
        <w:tc>
          <w:tcPr>
            <w:tcW w:type="dxa" w:w="1661"/>
          </w:tcPr>
          <w:p>
            <w:pPr>
              <w:pStyle w:val="null3"/>
            </w:pPr>
            <w:r>
              <w:rPr>
                <w:rFonts w:ascii="仿宋_GB2312" w:hAnsi="仿宋_GB2312" w:cs="仿宋_GB2312" w:eastAsia="仿宋_GB2312"/>
              </w:rPr>
              <w:t>医保门诊业务监管服务方案</w:t>
            </w:r>
          </w:p>
        </w:tc>
        <w:tc>
          <w:tcPr>
            <w:tcW w:type="dxa" w:w="2492"/>
          </w:tcPr>
          <w:p>
            <w:pPr>
              <w:pStyle w:val="null3"/>
            </w:pPr>
            <w:r>
              <w:rPr>
                <w:rFonts w:ascii="仿宋_GB2312" w:hAnsi="仿宋_GB2312" w:cs="仿宋_GB2312" w:eastAsia="仿宋_GB2312"/>
              </w:rPr>
              <w:t>针对本项目提供医保门诊业务监管服务方案，包括但不限于需求及医保费用审核的理解、监管方法体系、数据分析、现场检查实施、工作措施等。 ①方案内容详细全面，各项内容完善具体，计8分； ②方案内容全面，但未针对各项内容进行详细描述或措施不具体的，计6分； ③针对以上方案要求，有1项欠缺或整体仅有粗略框架，无具体针对性内容的，计4分； ④针对以上方案要求，有2项欠缺的，计2分； ⑤有3项及以上欠缺或方案逻辑混乱、出现常识性错误、存在不适用项目实际情况的情形的，计1分；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医保门诊业务监管服务方案.docx</w:t>
            </w:r>
          </w:p>
        </w:tc>
      </w:tr>
      <w:tr>
        <w:tc>
          <w:tcPr>
            <w:tcW w:type="dxa" w:w="831"/>
            <w:vMerge/>
          </w:tcPr>
          <w:p/>
        </w:tc>
        <w:tc>
          <w:tcPr>
            <w:tcW w:type="dxa" w:w="1661"/>
          </w:tcPr>
          <w:p>
            <w:pPr>
              <w:pStyle w:val="null3"/>
            </w:pPr>
            <w:r>
              <w:rPr>
                <w:rFonts w:ascii="仿宋_GB2312" w:hAnsi="仿宋_GB2312" w:cs="仿宋_GB2312" w:eastAsia="仿宋_GB2312"/>
              </w:rPr>
              <w:t>药店购药及门诊业务监管服务方案</w:t>
            </w:r>
          </w:p>
        </w:tc>
        <w:tc>
          <w:tcPr>
            <w:tcW w:type="dxa" w:w="2492"/>
          </w:tcPr>
          <w:p>
            <w:pPr>
              <w:pStyle w:val="null3"/>
            </w:pPr>
            <w:r>
              <w:rPr>
                <w:rFonts w:ascii="仿宋_GB2312" w:hAnsi="仿宋_GB2312" w:cs="仿宋_GB2312" w:eastAsia="仿宋_GB2312"/>
              </w:rPr>
              <w:t>针对本项目提供药店购药及门诊业务监管服务方案，包括但不限于需求及医保费用审核的理解、监管方法体系、数据分析、现场检查实施、工作措施等。 ①方案内容详细全面，各项内容完善具体，计8分； ②方案内容全面，但未针对各项内容进行详细描述或措施不具体的，计6分； ③针对以上方案要求，有1项欠缺或整体仅有粗略框架，无具体针对性内容的，计4分； ④针对以上方案要求，有2项欠缺的，计2分； ⑤有3项及以上欠缺或方案逻辑混乱、出现常识性错误、存在不适用项目实际情况的情形的，计1分；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药店购药及门诊业务监管服务方案.docx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针对本项目提供详细的实施方案，包括但不限于组织管理、实施过程、实施进度安排、控制措施、项目质量管理等方面。 ①方案安排合理，实施进度计划详细、完善、有针对性，能按期高质量完成工作，控制措施具体、合理可行，计10分； ②方案内容全面，但未针对各项内容进行详细描述或进度不详细、措施不具体的，计8分； ③针对以上方案要求，有1项欠缺或整体仅有粗略框架，无具体针对性内容的，计6分； ④针对以上方案要求，有2项欠缺的，计4分； ⑤有3项及以上欠缺或方案逻辑混乱、出现常识性错误、存在不适用项目实际情况的情形的，计2分；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安全及保密控制方案</w:t>
            </w:r>
          </w:p>
        </w:tc>
        <w:tc>
          <w:tcPr>
            <w:tcW w:type="dxa" w:w="2492"/>
          </w:tcPr>
          <w:p>
            <w:pPr>
              <w:pStyle w:val="null3"/>
            </w:pPr>
            <w:r>
              <w:rPr>
                <w:rFonts w:ascii="仿宋_GB2312" w:hAnsi="仿宋_GB2312" w:cs="仿宋_GB2312" w:eastAsia="仿宋_GB2312"/>
              </w:rPr>
              <w:t>针对本项目提供相应的流程、制度、设备、软件等，加强对档案的管理控制，保证文件原件及档案信息的安全及保密。 ①方案内容详细全面，各项内容完善具体，计10分； ②方案内容全面，但未针对各项内容进行详细描述或措施不具体的，计8分； ③针对以上方案要求，有1项欠缺或整体仅有粗略框架，无具体针对性内容的，计6分； ④针对以上方案要求，有2项欠缺的，计4分； ⑤有3项欠缺或方案逻辑混乱、出现常识性错误、存在不适用项目实际情况的情形的，计2分；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安全及保密控制方案.docx</w:t>
            </w:r>
          </w:p>
        </w:tc>
      </w:tr>
      <w:tr>
        <w:tc>
          <w:tcPr>
            <w:tcW w:type="dxa" w:w="831"/>
            <w:vMerge/>
          </w:tcPr>
          <w:p/>
        </w:tc>
        <w:tc>
          <w:tcPr>
            <w:tcW w:type="dxa" w:w="1661"/>
          </w:tcPr>
          <w:p>
            <w:pPr>
              <w:pStyle w:val="null3"/>
            </w:pPr>
            <w:r>
              <w:rPr>
                <w:rFonts w:ascii="仿宋_GB2312" w:hAnsi="仿宋_GB2312" w:cs="仿宋_GB2312" w:eastAsia="仿宋_GB2312"/>
              </w:rPr>
              <w:t>医保基金运行分析方案</w:t>
            </w:r>
          </w:p>
        </w:tc>
        <w:tc>
          <w:tcPr>
            <w:tcW w:type="dxa" w:w="2492"/>
          </w:tcPr>
          <w:p>
            <w:pPr>
              <w:pStyle w:val="null3"/>
            </w:pPr>
            <w:r>
              <w:rPr>
                <w:rFonts w:ascii="仿宋_GB2312" w:hAnsi="仿宋_GB2312" w:cs="仿宋_GB2312" w:eastAsia="仿宋_GB2312"/>
              </w:rPr>
              <w:t>针对本项目提供详细的医保基金运行分析方案，方案中包含可能存在的问题、问题分析、解决措施、优化方案等。 ①方案内容详细全面，各项内容完善具体，计10分； ②方案内容全面，但未针对各项内容进行详细描述或措施不具体的，计8分； ③针对以上方案要求，有1项欠缺或整体仅有粗略框架，无具体针对性内容的，计6分； ④针对以上方案要求，有2项欠缺的，计4分； ⑤有3项欠缺或方案逻辑混乱、出现常识性错误、存在不适用项目实际情况的情形的，计2分；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医保基金运行分析方案.docx</w:t>
            </w:r>
          </w:p>
        </w:tc>
      </w:tr>
      <w:tr>
        <w:tc>
          <w:tcPr>
            <w:tcW w:type="dxa" w:w="831"/>
            <w:vMerge/>
          </w:tcPr>
          <w:p/>
        </w:tc>
        <w:tc>
          <w:tcPr>
            <w:tcW w:type="dxa" w:w="1661"/>
          </w:tcPr>
          <w:p>
            <w:pPr>
              <w:pStyle w:val="null3"/>
            </w:pPr>
            <w:r>
              <w:rPr>
                <w:rFonts w:ascii="仿宋_GB2312" w:hAnsi="仿宋_GB2312" w:cs="仿宋_GB2312" w:eastAsia="仿宋_GB2312"/>
              </w:rPr>
              <w:t>拟派项目组人员1</w:t>
            </w:r>
          </w:p>
        </w:tc>
        <w:tc>
          <w:tcPr>
            <w:tcW w:type="dxa" w:w="2492"/>
          </w:tcPr>
          <w:p>
            <w:pPr>
              <w:pStyle w:val="null3"/>
            </w:pPr>
            <w:r>
              <w:rPr>
                <w:rFonts w:ascii="仿宋_GB2312" w:hAnsi="仿宋_GB2312" w:cs="仿宋_GB2312" w:eastAsia="仿宋_GB2312"/>
              </w:rPr>
              <w:t>项目负责人具有高级信息系统项目管理师或 PMP 资质证书（提供项目负责人劳动合同和资质证明等文件），同时具有相关工作经验的得2分，未提供或提供不全不得分。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拟派项目组人员2</w:t>
            </w:r>
          </w:p>
        </w:tc>
        <w:tc>
          <w:tcPr>
            <w:tcW w:type="dxa" w:w="2492"/>
          </w:tcPr>
          <w:p>
            <w:pPr>
              <w:pStyle w:val="null3"/>
            </w:pPr>
            <w:r>
              <w:rPr>
                <w:rFonts w:ascii="仿宋_GB2312" w:hAnsi="仿宋_GB2312" w:cs="仿宋_GB2312" w:eastAsia="仿宋_GB2312"/>
              </w:rPr>
              <w:t>项目组织管理机构设置及人员分工安排（不少于5人（含））、岗位职责划分明确、协调配合、人员专业性等（提供人员劳动合同、相关证件等证明资料）。 ①内容详细全面、机构设置合理、人员安排完善可行、岗位划分及职责明确的，专业性强，计8分； ②内容全面，但未针对各项内容进行详细描述的，计6分； ③机构设置不合理或岗位划分职责不明确，不能体现团队人员专业性的，计4分； ④方案有欠缺或逻辑混乱、出现常识性错误、存在不适用项目实际情况的情形的，计2分； ⑤未提供相关内容的不计分。 注：人员5人以下的或未提供人员证明资料的，本项不计分。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拟派项目组人员3</w:t>
            </w:r>
          </w:p>
        </w:tc>
        <w:tc>
          <w:tcPr>
            <w:tcW w:type="dxa" w:w="2492"/>
          </w:tcPr>
          <w:p>
            <w:pPr>
              <w:pStyle w:val="null3"/>
            </w:pPr>
            <w:r>
              <w:rPr>
                <w:rFonts w:ascii="仿宋_GB2312" w:hAnsi="仿宋_GB2312" w:cs="仿宋_GB2312" w:eastAsia="仿宋_GB2312"/>
              </w:rPr>
              <w:t>服务团队人员具有IT相关专业背景人员，每提供一名计1分，最多得4分。服务团队人员具有医学相关专业背景人员，每提供一名计1分，最多得2分。 （提供人员劳动合同、相关证件等证明资料，未提供人员证明材料的不计分）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以合同形式（完整合同复印件，以合同签订时间为准。）提供投标人2021年1月至今的同类服务项目业绩，每提供一个计2分，计满10分为止。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详细的服务承诺，建立完善的技术支持体系，有无条件接受采购人的监督检查的承诺，有接到采购人通知后解决问题的时间承诺，在合同履行过程中为采购人提供的服务从质量及对后期的技术指导等方面作出书面承诺。 ①各项承诺内容详细全面、合理可行，响应及时、措施具体的，计10分； ②内容全面，但未针对各项内容进行详细描述的，计8分； ③承诺内容简单、响应时间不明确或措施不具体的，计6分； ④针对以上方案要求，有1项欠缺或无欠缺仅有粗略框架，无具体针对性内容的计4分； ⑤有2项及以上欠缺或方案逻辑混乱、出现常识性错误、存在不适用项目实际情况的情形的，计2分；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详见附件：医保住院业务监管服务方案.docx</w:t>
      </w:r>
    </w:p>
    <w:p>
      <w:pPr>
        <w:pStyle w:val="null3"/>
        <w:ind w:firstLine="960"/>
      </w:pPr>
      <w:r>
        <w:rPr>
          <w:rFonts w:ascii="仿宋_GB2312" w:hAnsi="仿宋_GB2312" w:cs="仿宋_GB2312" w:eastAsia="仿宋_GB2312"/>
        </w:rPr>
        <w:t>详见附件：医保门诊业务监管服务方案.docx</w:t>
      </w:r>
    </w:p>
    <w:p>
      <w:pPr>
        <w:pStyle w:val="null3"/>
        <w:ind w:firstLine="960"/>
      </w:pPr>
      <w:r>
        <w:rPr>
          <w:rFonts w:ascii="仿宋_GB2312" w:hAnsi="仿宋_GB2312" w:cs="仿宋_GB2312" w:eastAsia="仿宋_GB2312"/>
        </w:rPr>
        <w:t>详见附件：药店购药及门诊业务监管服务方案.docx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详见附件：安全及保密控制方案.docx</w:t>
      </w:r>
    </w:p>
    <w:p>
      <w:pPr>
        <w:pStyle w:val="null3"/>
        <w:ind w:firstLine="960"/>
      </w:pPr>
      <w:r>
        <w:rPr>
          <w:rFonts w:ascii="仿宋_GB2312" w:hAnsi="仿宋_GB2312" w:cs="仿宋_GB2312" w:eastAsia="仿宋_GB2312"/>
        </w:rPr>
        <w:t>详见附件：医保基金运行分析方案.docx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详见附件：合同5.12.docx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