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3FC87">
      <w:pPr>
        <w:pStyle w:val="11"/>
        <w:spacing w:before="0" w:after="0" w:line="360" w:lineRule="auto"/>
        <w:ind w:left="283"/>
        <w:rPr>
          <w:rFonts w:hint="eastAsia" w:ascii="仿宋" w:hAnsi="仿宋" w:eastAsia="仿宋" w:cs="仿宋"/>
          <w:color w:val="auto"/>
          <w:sz w:val="32"/>
          <w:highlight w:val="none"/>
        </w:rPr>
      </w:pPr>
      <w:r>
        <w:rPr>
          <w:rFonts w:hint="eastAsia" w:ascii="仿宋" w:hAnsi="仿宋" w:eastAsia="仿宋" w:cs="仿宋"/>
          <w:color w:val="auto"/>
          <w:sz w:val="32"/>
          <w:highlight w:val="none"/>
        </w:rPr>
        <w:t>第二部分 符合性证明文件</w:t>
      </w:r>
    </w:p>
    <w:p w14:paraId="2EA27BA1">
      <w:pPr>
        <w:pStyle w:val="11"/>
        <w:spacing w:before="0" w:after="0" w:line="360" w:lineRule="auto"/>
        <w:ind w:left="0"/>
        <w:jc w:val="both"/>
        <w:outlineLvl w:val="2"/>
        <w:rPr>
          <w:rFonts w:hint="eastAsia" w:ascii="仿宋" w:hAnsi="仿宋" w:eastAsia="仿宋" w:cs="仿宋"/>
          <w:color w:val="auto"/>
          <w:highlight w:val="none"/>
        </w:rPr>
      </w:pPr>
      <w:bookmarkStart w:id="0" w:name="_Toc26064"/>
      <w:bookmarkStart w:id="1" w:name="_Toc30414"/>
      <w:bookmarkStart w:id="2" w:name="_Toc17687"/>
      <w:bookmarkStart w:id="3" w:name="_Toc4834"/>
      <w:bookmarkStart w:id="4" w:name="_Toc13179"/>
      <w:bookmarkStart w:id="5" w:name="_Toc1167"/>
      <w:bookmarkStart w:id="6" w:name="_Toc1773"/>
      <w:bookmarkStart w:id="7" w:name="_Toc4366"/>
      <w:bookmarkStart w:id="8" w:name="_Toc32108"/>
      <w:bookmarkStart w:id="9" w:name="_Toc16590"/>
      <w:bookmarkStart w:id="10" w:name="_Toc23035"/>
      <w:bookmarkStart w:id="11" w:name="_Toc1680"/>
      <w:r>
        <w:rPr>
          <w:rFonts w:hint="eastAsia" w:ascii="仿宋" w:hAnsi="仿宋" w:eastAsia="仿宋" w:cs="仿宋"/>
          <w:color w:val="auto"/>
          <w:highlight w:val="none"/>
        </w:rPr>
        <w:t>一、响应函格式</w:t>
      </w:r>
      <w:bookmarkEnd w:id="0"/>
      <w:bookmarkEnd w:id="1"/>
      <w:bookmarkEnd w:id="2"/>
      <w:bookmarkEnd w:id="3"/>
      <w:bookmarkEnd w:id="4"/>
      <w:bookmarkEnd w:id="5"/>
      <w:bookmarkEnd w:id="6"/>
      <w:bookmarkEnd w:id="7"/>
      <w:bookmarkEnd w:id="8"/>
      <w:bookmarkEnd w:id="9"/>
      <w:bookmarkEnd w:id="10"/>
      <w:bookmarkEnd w:id="11"/>
    </w:p>
    <w:p w14:paraId="3E929869">
      <w:pPr>
        <w:pStyle w:val="11"/>
        <w:spacing w:before="0" w:after="0" w:line="360" w:lineRule="auto"/>
        <w:ind w:left="283"/>
        <w:outlineLvl w:val="9"/>
        <w:rPr>
          <w:rFonts w:hint="eastAsia" w:ascii="仿宋" w:hAnsi="仿宋" w:eastAsia="仿宋" w:cs="仿宋"/>
          <w:color w:val="auto"/>
          <w:sz w:val="32"/>
          <w:highlight w:val="none"/>
        </w:rPr>
      </w:pPr>
      <w:r>
        <w:rPr>
          <w:rFonts w:hint="eastAsia" w:ascii="仿宋" w:hAnsi="仿宋" w:eastAsia="仿宋" w:cs="仿宋"/>
          <w:color w:val="auto"/>
          <w:sz w:val="32"/>
          <w:highlight w:val="none"/>
        </w:rPr>
        <w:t>响应函</w:t>
      </w:r>
    </w:p>
    <w:p w14:paraId="4497AF02">
      <w:pPr>
        <w:pStyle w:val="12"/>
        <w:spacing w:line="500" w:lineRule="exact"/>
        <w:ind w:firstLine="0" w:firstLineChars="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lang w:val="zh-CN"/>
        </w:rPr>
        <w:t>：</w:t>
      </w:r>
    </w:p>
    <w:p w14:paraId="5DD2B204">
      <w:pPr>
        <w:spacing w:line="360" w:lineRule="auto"/>
        <w:ind w:right="1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我方收到贵单位发布的《</w:t>
      </w:r>
      <w:r>
        <w:rPr>
          <w:rFonts w:hint="eastAsia" w:ascii="仿宋" w:hAnsi="仿宋" w:eastAsia="仿宋" w:cs="仿宋"/>
          <w:color w:val="auto"/>
          <w:sz w:val="20"/>
          <w:szCs w:val="20"/>
          <w:highlight w:val="none"/>
          <w:u w:val="single"/>
        </w:rPr>
        <w:t>项目名称》</w:t>
      </w:r>
      <w:r>
        <w:rPr>
          <w:rFonts w:hint="eastAsia" w:ascii="仿宋" w:hAnsi="仿宋" w:eastAsia="仿宋" w:cs="仿宋"/>
          <w:color w:val="auto"/>
          <w:sz w:val="20"/>
          <w:szCs w:val="20"/>
          <w:highlight w:val="none"/>
        </w:rPr>
        <w:t>（项目编号：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）竞争性磋商文件，经详细研究，我方决定参加该项目磋商活动。为此，我方郑重声明以下诸点，并负法律责任。</w:t>
      </w:r>
    </w:p>
    <w:p w14:paraId="021475B4">
      <w:pPr>
        <w:pStyle w:val="12"/>
        <w:spacing w:line="360" w:lineRule="auto"/>
        <w:ind w:firstLine="48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一、我方已详细阅读了竞争性磋商文件，完全理解并同意竞争性磋商文件的所有事项及内容。</w:t>
      </w:r>
    </w:p>
    <w:p w14:paraId="136A9B44">
      <w:pPr>
        <w:pStyle w:val="12"/>
        <w:spacing w:line="360" w:lineRule="auto"/>
        <w:ind w:firstLine="48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45DDDC02">
      <w:pPr>
        <w:pStyle w:val="12"/>
        <w:spacing w:line="360" w:lineRule="auto"/>
        <w:ind w:firstLine="48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三、我方同意向贵方提供与本投标有关的任何证明材料，保证所提交的证明材料真实、合法、有效。我方理解</w:t>
      </w:r>
      <w:r>
        <w:rPr>
          <w:rFonts w:hint="eastAsia" w:ascii="仿宋" w:hAnsi="仿宋" w:eastAsia="仿宋" w:cs="仿宋"/>
          <w:b/>
          <w:bCs/>
          <w:color w:val="auto"/>
          <w:sz w:val="20"/>
          <w:szCs w:val="20"/>
          <w:highlight w:val="none"/>
        </w:rPr>
        <w:t>最低价</w:t>
      </w:r>
      <w:r>
        <w:rPr>
          <w:rFonts w:hint="eastAsia" w:ascii="仿宋" w:hAnsi="仿宋" w:eastAsia="仿宋" w:cs="仿宋"/>
          <w:color w:val="auto"/>
          <w:sz w:val="20"/>
          <w:szCs w:val="20"/>
          <w:highlight w:val="none"/>
        </w:rPr>
        <w:t>不是成交的唯一条件，并尊重磋商小组的评审结果。</w:t>
      </w:r>
    </w:p>
    <w:p w14:paraId="6BE57C7C">
      <w:pPr>
        <w:pStyle w:val="12"/>
        <w:spacing w:line="360" w:lineRule="auto"/>
        <w:ind w:firstLine="48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四、我方愿意按照竞争性磋商文件中的一切要求，完成本项目合同责任和义务。</w:t>
      </w:r>
    </w:p>
    <w:p w14:paraId="3A16C98F">
      <w:pPr>
        <w:pStyle w:val="7"/>
        <w:wordWrap w:val="0"/>
        <w:spacing w:before="0" w:beforeAutospacing="0" w:after="0" w:afterAutospacing="0" w:line="360" w:lineRule="auto"/>
        <w:ind w:firstLine="400" w:firstLineChars="200"/>
        <w:rPr>
          <w:rFonts w:hint="eastAsia" w:ascii="仿宋" w:hAnsi="仿宋" w:eastAsia="仿宋" w:cs="仿宋"/>
          <w:color w:val="auto"/>
          <w:kern w:val="2"/>
          <w:sz w:val="20"/>
          <w:szCs w:val="20"/>
          <w:highlight w:val="none"/>
        </w:rPr>
      </w:pPr>
      <w:r>
        <w:rPr>
          <w:rFonts w:hint="eastAsia" w:ascii="仿宋" w:hAnsi="仿宋" w:eastAsia="仿宋" w:cs="仿宋"/>
          <w:color w:val="auto"/>
          <w:kern w:val="2"/>
          <w:sz w:val="20"/>
          <w:szCs w:val="20"/>
          <w:highlight w:val="none"/>
        </w:rPr>
        <w:t xml:space="preserve">五、按竞争性磋商文件的规定，完成本项目采购内容并验收合格的磋商报价以报价一览表为准。 </w:t>
      </w:r>
    </w:p>
    <w:p w14:paraId="40F5921B">
      <w:pPr>
        <w:pStyle w:val="7"/>
        <w:wordWrap w:val="0"/>
        <w:spacing w:before="0" w:beforeAutospacing="0" w:after="0" w:afterAutospacing="0" w:line="360" w:lineRule="auto"/>
        <w:ind w:firstLine="400" w:firstLineChars="200"/>
        <w:rPr>
          <w:rFonts w:hint="eastAsia" w:ascii="仿宋" w:hAnsi="仿宋" w:eastAsia="仿宋" w:cs="仿宋"/>
          <w:color w:val="auto"/>
          <w:kern w:val="2"/>
          <w:sz w:val="20"/>
          <w:szCs w:val="20"/>
          <w:highlight w:val="none"/>
        </w:rPr>
      </w:pPr>
      <w:r>
        <w:rPr>
          <w:rFonts w:hint="eastAsia" w:ascii="仿宋" w:hAnsi="仿宋" w:eastAsia="仿宋" w:cs="仿宋"/>
          <w:color w:val="auto"/>
          <w:kern w:val="2"/>
          <w:sz w:val="20"/>
          <w:szCs w:val="20"/>
          <w:highlight w:val="none"/>
        </w:rPr>
        <w:t>六、我方提交竞争性磋商响应文件</w:t>
      </w:r>
      <w:r>
        <w:rPr>
          <w:rFonts w:hint="eastAsia" w:ascii="仿宋" w:hAnsi="仿宋" w:eastAsia="仿宋" w:cs="仿宋"/>
          <w:color w:val="auto"/>
          <w:kern w:val="2"/>
          <w:sz w:val="20"/>
          <w:szCs w:val="20"/>
          <w:highlight w:val="none"/>
          <w:lang w:eastAsia="zh-CN"/>
        </w:rPr>
        <w:t>（</w:t>
      </w:r>
      <w:r>
        <w:rPr>
          <w:rFonts w:hint="eastAsia" w:ascii="仿宋" w:hAnsi="仿宋" w:eastAsia="仿宋" w:cs="仿宋"/>
          <w:color w:val="auto"/>
          <w:kern w:val="2"/>
          <w:sz w:val="20"/>
          <w:szCs w:val="20"/>
          <w:highlight w:val="none"/>
          <w:lang w:val="en-US" w:eastAsia="zh-CN"/>
        </w:rPr>
        <w:t>电子版</w:t>
      </w:r>
      <w:r>
        <w:rPr>
          <w:rFonts w:hint="eastAsia" w:ascii="仿宋" w:hAnsi="仿宋" w:eastAsia="仿宋" w:cs="仿宋"/>
          <w:color w:val="auto"/>
          <w:kern w:val="2"/>
          <w:sz w:val="20"/>
          <w:szCs w:val="20"/>
          <w:highlight w:val="none"/>
          <w:lang w:eastAsia="zh-CN"/>
        </w:rPr>
        <w:t>）</w:t>
      </w:r>
      <w:r>
        <w:rPr>
          <w:rFonts w:hint="eastAsia" w:ascii="仿宋" w:hAnsi="仿宋" w:eastAsia="仿宋" w:cs="仿宋"/>
          <w:color w:val="auto"/>
          <w:kern w:val="2"/>
          <w:sz w:val="20"/>
          <w:szCs w:val="20"/>
          <w:highlight w:val="none"/>
        </w:rPr>
        <w:t>壹份。</w:t>
      </w:r>
    </w:p>
    <w:p w14:paraId="78923F21">
      <w:pPr>
        <w:pStyle w:val="12"/>
        <w:spacing w:line="360" w:lineRule="auto"/>
        <w:ind w:firstLine="48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七、</w:t>
      </w:r>
      <w:r>
        <w:rPr>
          <w:rFonts w:hint="eastAsia" w:ascii="仿宋" w:hAnsi="仿宋" w:eastAsia="仿宋" w:cs="仿宋"/>
          <w:color w:val="auto"/>
          <w:sz w:val="20"/>
          <w:szCs w:val="20"/>
          <w:highlight w:val="none"/>
          <w:lang w:eastAsia="zh-CN"/>
        </w:rPr>
        <w:t>开启</w:t>
      </w:r>
      <w:r>
        <w:rPr>
          <w:rFonts w:hint="eastAsia" w:ascii="仿宋" w:hAnsi="仿宋" w:eastAsia="仿宋" w:cs="仿宋"/>
          <w:color w:val="auto"/>
          <w:sz w:val="20"/>
          <w:szCs w:val="20"/>
          <w:highlight w:val="none"/>
        </w:rPr>
        <w:t>后在规定的磋商有效期内撤回投标，我们愿接受政府采购的有关处罚决定。</w:t>
      </w:r>
    </w:p>
    <w:p w14:paraId="7BD27B6D">
      <w:pPr>
        <w:autoSpaceDE w:val="0"/>
        <w:autoSpaceDN w:val="0"/>
        <w:adjustRightIn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八、我方的竞争性磋商响应文件在</w:t>
      </w:r>
      <w:r>
        <w:rPr>
          <w:rFonts w:hint="eastAsia" w:ascii="仿宋" w:hAnsi="仿宋" w:eastAsia="仿宋" w:cs="仿宋"/>
          <w:color w:val="auto"/>
          <w:sz w:val="20"/>
          <w:szCs w:val="20"/>
          <w:highlight w:val="none"/>
          <w:lang w:eastAsia="zh-CN"/>
        </w:rPr>
        <w:t>开启</w:t>
      </w:r>
      <w:r>
        <w:rPr>
          <w:rFonts w:hint="eastAsia" w:ascii="仿宋" w:hAnsi="仿宋" w:eastAsia="仿宋" w:cs="仿宋"/>
          <w:color w:val="auto"/>
          <w:sz w:val="20"/>
          <w:szCs w:val="20"/>
          <w:highlight w:val="none"/>
        </w:rPr>
        <w:t>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b/>
          <w:bCs/>
          <w:color w:val="auto"/>
          <w:sz w:val="20"/>
          <w:szCs w:val="20"/>
          <w:highlight w:val="none"/>
          <w:u w:val="single"/>
        </w:rPr>
        <w:t>90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个日历日内有效，如成交，延长至合同执行完毕时止。</w:t>
      </w:r>
    </w:p>
    <w:p w14:paraId="3E3A8E2F">
      <w:pPr>
        <w:autoSpaceDE w:val="0"/>
        <w:autoSpaceDN w:val="0"/>
        <w:adjustRightIn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九、我们同意，如果成交，向</w:t>
      </w:r>
      <w:r>
        <w:rPr>
          <w:rFonts w:hint="eastAsia" w:ascii="仿宋" w:hAnsi="仿宋" w:eastAsia="仿宋" w:cs="仿宋"/>
          <w:color w:val="auto"/>
          <w:sz w:val="20"/>
          <w:szCs w:val="20"/>
          <w:highlight w:val="none"/>
          <w:lang w:eastAsia="zh-CN"/>
        </w:rPr>
        <w:t>陕西钜信达工程项目管理有限公司</w:t>
      </w:r>
      <w:r>
        <w:rPr>
          <w:rFonts w:hint="eastAsia" w:ascii="仿宋" w:hAnsi="仿宋" w:eastAsia="仿宋" w:cs="仿宋"/>
          <w:color w:val="auto"/>
          <w:sz w:val="20"/>
          <w:szCs w:val="20"/>
          <w:highlight w:val="none"/>
        </w:rPr>
        <w:t>交纳招标代理服务费。</w:t>
      </w:r>
    </w:p>
    <w:p w14:paraId="68AAFCFA">
      <w:pPr>
        <w:pStyle w:val="12"/>
        <w:spacing w:line="360" w:lineRule="auto"/>
        <w:ind w:firstLine="48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十、所有关于此次磋商活动的函电，请按下列地址联系：</w:t>
      </w:r>
    </w:p>
    <w:p w14:paraId="5925EBD3">
      <w:pPr>
        <w:pStyle w:val="12"/>
        <w:spacing w:line="360" w:lineRule="auto"/>
        <w:ind w:firstLine="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（加盖公章）</w:t>
      </w:r>
    </w:p>
    <w:p w14:paraId="1329E818">
      <w:pPr>
        <w:pStyle w:val="12"/>
        <w:spacing w:line="360" w:lineRule="auto"/>
        <w:ind w:firstLine="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p w14:paraId="352A8775">
      <w:pPr>
        <w:pStyle w:val="12"/>
        <w:spacing w:line="360" w:lineRule="auto"/>
        <w:ind w:firstLine="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p w14:paraId="0B3F80E2">
      <w:pPr>
        <w:pStyle w:val="12"/>
        <w:spacing w:line="360" w:lineRule="auto"/>
        <w:ind w:firstLine="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p w14:paraId="4C4BDD0C">
      <w:pPr>
        <w:pStyle w:val="12"/>
        <w:spacing w:line="360" w:lineRule="auto"/>
        <w:ind w:firstLine="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p w14:paraId="614BBD68">
      <w:pPr>
        <w:pStyle w:val="12"/>
        <w:spacing w:line="360" w:lineRule="auto"/>
        <w:ind w:firstLine="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p w14:paraId="20E18F10">
      <w:pPr>
        <w:pStyle w:val="12"/>
        <w:spacing w:line="360" w:lineRule="auto"/>
        <w:ind w:firstLine="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p w14:paraId="2716979B">
      <w:pPr>
        <w:pStyle w:val="12"/>
        <w:spacing w:line="360" w:lineRule="auto"/>
        <w:ind w:firstLine="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电子邮箱：</w:t>
      </w:r>
    </w:p>
    <w:p w14:paraId="2083C9B1">
      <w:pPr>
        <w:pStyle w:val="12"/>
        <w:spacing w:line="360" w:lineRule="auto"/>
        <w:ind w:firstLine="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A816FDE">
      <w:pPr>
        <w:pStyle w:val="12"/>
        <w:ind w:firstLine="0" w:firstLineChars="0"/>
        <w:rPr>
          <w:rFonts w:hint="eastAsia" w:ascii="仿宋" w:hAnsi="仿宋" w:eastAsia="仿宋" w:cs="仿宋"/>
          <w:b/>
          <w:bCs/>
          <w:color w:val="auto"/>
          <w:sz w:val="21"/>
          <w:szCs w:val="21"/>
          <w:highlight w:val="none"/>
        </w:rPr>
      </w:pPr>
    </w:p>
    <w:p w14:paraId="700C6F50">
      <w:pPr>
        <w:pStyle w:val="12"/>
        <w:ind w:firstLine="0" w:firstLineChars="0"/>
        <w:rPr>
          <w:rFonts w:hint="eastAsia" w:ascii="仿宋" w:hAnsi="仿宋" w:eastAsia="仿宋" w:cs="仿宋"/>
          <w:color w:val="auto"/>
          <w:sz w:val="32"/>
          <w:szCs w:val="32"/>
          <w:highlight w:val="none"/>
        </w:rPr>
      </w:pPr>
    </w:p>
    <w:p w14:paraId="272B6F94">
      <w:pPr>
        <w:pStyle w:val="12"/>
        <w:ind w:firstLine="0" w:firstLineChars="0"/>
        <w:rPr>
          <w:rFonts w:hint="eastAsia" w:ascii="仿宋" w:hAnsi="仿宋" w:eastAsia="仿宋" w:cs="仿宋"/>
          <w:color w:val="auto"/>
          <w:sz w:val="32"/>
          <w:szCs w:val="32"/>
          <w:highlight w:val="none"/>
        </w:rPr>
      </w:pPr>
    </w:p>
    <w:p w14:paraId="5943B8EA">
      <w:pPr>
        <w:pStyle w:val="12"/>
        <w:ind w:firstLine="0" w:firstLineChars="0"/>
        <w:rPr>
          <w:rFonts w:hint="eastAsia" w:ascii="仿宋" w:hAnsi="仿宋" w:eastAsia="仿宋" w:cs="仿宋"/>
          <w:color w:val="auto"/>
          <w:sz w:val="32"/>
          <w:szCs w:val="32"/>
          <w:highlight w:val="none"/>
        </w:rPr>
      </w:pPr>
    </w:p>
    <w:p w14:paraId="6813CD37">
      <w:pPr>
        <w:pStyle w:val="12"/>
        <w:ind w:firstLine="0" w:firstLineChars="0"/>
        <w:rPr>
          <w:rFonts w:hint="eastAsia" w:ascii="仿宋" w:hAnsi="仿宋" w:eastAsia="仿宋" w:cs="仿宋"/>
          <w:color w:val="auto"/>
          <w:sz w:val="32"/>
          <w:szCs w:val="32"/>
          <w:highlight w:val="none"/>
        </w:rPr>
      </w:pPr>
    </w:p>
    <w:p w14:paraId="0A9B9D9A">
      <w:pPr>
        <w:pStyle w:val="12"/>
        <w:ind w:firstLine="0" w:firstLineChars="0"/>
        <w:rPr>
          <w:rFonts w:hint="eastAsia" w:ascii="仿宋" w:hAnsi="仿宋" w:eastAsia="仿宋" w:cs="仿宋"/>
          <w:color w:val="auto"/>
          <w:sz w:val="32"/>
          <w:szCs w:val="32"/>
          <w:highlight w:val="none"/>
        </w:rPr>
      </w:pPr>
    </w:p>
    <w:p w14:paraId="6301E1E2">
      <w:pPr>
        <w:pStyle w:val="12"/>
        <w:ind w:firstLine="0" w:firstLineChars="0"/>
        <w:rPr>
          <w:rFonts w:hint="eastAsia" w:ascii="仿宋" w:hAnsi="仿宋" w:eastAsia="仿宋" w:cs="仿宋"/>
          <w:color w:val="auto"/>
          <w:sz w:val="32"/>
          <w:szCs w:val="32"/>
          <w:highlight w:val="none"/>
        </w:rPr>
      </w:pPr>
    </w:p>
    <w:p w14:paraId="10DF3E1E">
      <w:pPr>
        <w:pStyle w:val="12"/>
        <w:ind w:firstLine="0" w:firstLineChars="0"/>
        <w:rPr>
          <w:rFonts w:hint="eastAsia" w:ascii="仿宋" w:hAnsi="仿宋" w:eastAsia="仿宋" w:cs="仿宋"/>
          <w:color w:val="auto"/>
          <w:sz w:val="32"/>
          <w:szCs w:val="32"/>
          <w:highlight w:val="none"/>
        </w:rPr>
      </w:pPr>
    </w:p>
    <w:p w14:paraId="69DF6D0A">
      <w:pPr>
        <w:pStyle w:val="12"/>
        <w:ind w:firstLine="0" w:firstLineChars="0"/>
        <w:rPr>
          <w:rFonts w:hint="eastAsia" w:ascii="仿宋" w:hAnsi="仿宋" w:eastAsia="仿宋" w:cs="仿宋"/>
          <w:color w:val="auto"/>
          <w:sz w:val="32"/>
          <w:szCs w:val="32"/>
          <w:highlight w:val="none"/>
        </w:rPr>
      </w:pPr>
    </w:p>
    <w:p w14:paraId="163D83CE">
      <w:pPr>
        <w:pStyle w:val="12"/>
        <w:ind w:firstLine="0" w:firstLineChars="0"/>
        <w:rPr>
          <w:rFonts w:hint="eastAsia" w:ascii="仿宋" w:hAnsi="仿宋" w:eastAsia="仿宋" w:cs="仿宋"/>
          <w:color w:val="auto"/>
          <w:sz w:val="32"/>
          <w:szCs w:val="32"/>
          <w:highlight w:val="none"/>
        </w:rPr>
      </w:pPr>
    </w:p>
    <w:p w14:paraId="3BBAF21D">
      <w:pPr>
        <w:pStyle w:val="11"/>
        <w:spacing w:before="0" w:after="0" w:line="360" w:lineRule="auto"/>
        <w:ind w:left="0"/>
        <w:jc w:val="both"/>
        <w:outlineLvl w:val="2"/>
        <w:rPr>
          <w:rFonts w:hint="eastAsia" w:ascii="仿宋" w:hAnsi="仿宋" w:eastAsia="仿宋" w:cs="仿宋"/>
          <w:color w:val="auto"/>
          <w:highlight w:val="none"/>
        </w:rPr>
      </w:pPr>
      <w:bookmarkStart w:id="12" w:name="_Toc27965"/>
      <w:bookmarkStart w:id="13" w:name="_Toc6164"/>
      <w:bookmarkStart w:id="14" w:name="_Toc7203"/>
      <w:bookmarkStart w:id="15" w:name="_Toc28261"/>
      <w:bookmarkStart w:id="16" w:name="_Toc15271"/>
      <w:bookmarkStart w:id="17" w:name="_Toc26017"/>
      <w:bookmarkStart w:id="18" w:name="_Toc28505"/>
      <w:bookmarkStart w:id="19" w:name="_Toc23720"/>
      <w:bookmarkStart w:id="20" w:name="_Toc8061"/>
      <w:bookmarkStart w:id="21" w:name="_Toc23436"/>
      <w:bookmarkStart w:id="22" w:name="_Toc17007"/>
      <w:r>
        <w:rPr>
          <w:rFonts w:hint="eastAsia" w:ascii="仿宋" w:hAnsi="仿宋" w:eastAsia="仿宋" w:cs="仿宋"/>
          <w:color w:val="auto"/>
          <w:highlight w:val="none"/>
        </w:rPr>
        <w:br w:type="page"/>
      </w:r>
      <w:r>
        <w:rPr>
          <w:rFonts w:hint="eastAsia" w:ascii="仿宋" w:hAnsi="仿宋" w:eastAsia="仿宋" w:cs="仿宋"/>
          <w:color w:val="auto"/>
          <w:highlight w:val="none"/>
        </w:rPr>
        <w:t>二、</w:t>
      </w:r>
      <w:bookmarkEnd w:id="12"/>
      <w:bookmarkEnd w:id="13"/>
      <w:bookmarkEnd w:id="14"/>
      <w:bookmarkEnd w:id="15"/>
      <w:bookmarkEnd w:id="16"/>
      <w:bookmarkEnd w:id="17"/>
      <w:bookmarkEnd w:id="18"/>
      <w:bookmarkEnd w:id="19"/>
      <w:bookmarkEnd w:id="20"/>
      <w:bookmarkEnd w:id="21"/>
      <w:bookmarkEnd w:id="22"/>
      <w:r>
        <w:rPr>
          <w:rFonts w:hint="eastAsia" w:ascii="仿宋" w:hAnsi="仿宋" w:eastAsia="仿宋" w:cs="仿宋"/>
          <w:color w:val="auto"/>
          <w:highlight w:val="none"/>
        </w:rPr>
        <w:t>报价一览表</w:t>
      </w:r>
    </w:p>
    <w:p w14:paraId="73C4F98E">
      <w:pPr>
        <w:spacing w:line="360" w:lineRule="auto"/>
        <w:jc w:val="center"/>
        <w:rPr>
          <w:rFonts w:hint="eastAsia" w:ascii="仿宋" w:hAnsi="仿宋" w:eastAsia="仿宋" w:cs="仿宋"/>
          <w:b/>
          <w:color w:val="auto"/>
          <w:sz w:val="22"/>
          <w:szCs w:val="22"/>
          <w:highlight w:val="none"/>
        </w:rPr>
      </w:pPr>
      <w:bookmarkStart w:id="23" w:name="_Toc8006"/>
      <w:bookmarkStart w:id="24" w:name="_Toc29232"/>
      <w:bookmarkStart w:id="25" w:name="_Toc29740_WPSOffice_Level2"/>
      <w:bookmarkStart w:id="26" w:name="_Toc31114"/>
      <w:bookmarkStart w:id="27" w:name="_Toc24699_WPSOffice_Level2"/>
      <w:bookmarkStart w:id="28" w:name="_Toc25597_WPSOffice_Level2"/>
      <w:bookmarkStart w:id="29" w:name="_Toc5592"/>
      <w:r>
        <w:rPr>
          <w:rFonts w:hint="eastAsia" w:ascii="仿宋" w:hAnsi="仿宋" w:eastAsia="仿宋" w:cs="仿宋"/>
          <w:b/>
          <w:color w:val="auto"/>
          <w:sz w:val="22"/>
          <w:szCs w:val="22"/>
          <w:highlight w:val="none"/>
        </w:rPr>
        <w:t>2.1报价一览表</w:t>
      </w:r>
    </w:p>
    <w:p w14:paraId="760C48CD">
      <w:pPr>
        <w:spacing w:line="360" w:lineRule="auto"/>
        <w:jc w:val="left"/>
        <w:rPr>
          <w:rFonts w:hint="eastAsia" w:ascii="仿宋" w:hAnsi="仿宋" w:eastAsia="仿宋" w:cs="仿宋"/>
          <w:b/>
          <w:color w:val="auto"/>
          <w:sz w:val="22"/>
          <w:szCs w:val="22"/>
          <w:highlight w:val="none"/>
        </w:rPr>
      </w:pPr>
    </w:p>
    <w:p w14:paraId="416459E9">
      <w:pPr>
        <w:spacing w:line="360" w:lineRule="auto"/>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项目名称：</w:t>
      </w:r>
    </w:p>
    <w:p w14:paraId="5EC425AC">
      <w:pPr>
        <w:spacing w:line="360" w:lineRule="auto"/>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 xml:space="preserve">项目编号：                  </w:t>
      </w:r>
    </w:p>
    <w:tbl>
      <w:tblPr>
        <w:tblStyle w:val="9"/>
        <w:tblpPr w:leftFromText="180" w:rightFromText="180" w:vertAnchor="text" w:horzAnchor="page" w:tblpX="1618" w:tblpY="33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5"/>
        <w:gridCol w:w="3300"/>
        <w:gridCol w:w="2275"/>
      </w:tblGrid>
      <w:tr w14:paraId="581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3325" w:type="dxa"/>
            <w:noWrap w:val="0"/>
            <w:vAlign w:val="center"/>
          </w:tcPr>
          <w:p w14:paraId="39ABEBC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磋商报价</w:t>
            </w:r>
          </w:p>
          <w:p w14:paraId="651AB246">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（元）</w:t>
            </w:r>
          </w:p>
        </w:tc>
        <w:tc>
          <w:tcPr>
            <w:tcW w:w="3300" w:type="dxa"/>
            <w:noWrap w:val="0"/>
            <w:vAlign w:val="center"/>
          </w:tcPr>
          <w:p w14:paraId="2E26232D">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服务期限</w:t>
            </w:r>
          </w:p>
        </w:tc>
        <w:tc>
          <w:tcPr>
            <w:tcW w:w="2275" w:type="dxa"/>
            <w:noWrap w:val="0"/>
            <w:vAlign w:val="center"/>
          </w:tcPr>
          <w:p w14:paraId="13059A7F">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r>
      <w:tr w14:paraId="77D47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3325" w:type="dxa"/>
            <w:noWrap w:val="0"/>
            <w:vAlign w:val="center"/>
          </w:tcPr>
          <w:p w14:paraId="0E878284">
            <w:pPr>
              <w:jc w:val="center"/>
              <w:rPr>
                <w:rFonts w:hint="eastAsia" w:ascii="仿宋" w:hAnsi="仿宋" w:eastAsia="仿宋" w:cs="仿宋"/>
                <w:color w:val="auto"/>
                <w:sz w:val="20"/>
                <w:szCs w:val="20"/>
                <w:highlight w:val="none"/>
              </w:rPr>
            </w:pPr>
          </w:p>
        </w:tc>
        <w:tc>
          <w:tcPr>
            <w:tcW w:w="3300" w:type="dxa"/>
            <w:noWrap w:val="0"/>
            <w:vAlign w:val="center"/>
          </w:tcPr>
          <w:p w14:paraId="6E261060">
            <w:pPr>
              <w:jc w:val="center"/>
              <w:rPr>
                <w:rFonts w:hint="eastAsia" w:ascii="仿宋" w:hAnsi="仿宋" w:eastAsia="仿宋" w:cs="仿宋"/>
                <w:color w:val="auto"/>
                <w:sz w:val="20"/>
                <w:szCs w:val="20"/>
                <w:highlight w:val="none"/>
              </w:rPr>
            </w:pPr>
          </w:p>
        </w:tc>
        <w:tc>
          <w:tcPr>
            <w:tcW w:w="2275" w:type="dxa"/>
            <w:noWrap w:val="0"/>
            <w:vAlign w:val="center"/>
          </w:tcPr>
          <w:p w14:paraId="3174E373">
            <w:pPr>
              <w:jc w:val="center"/>
              <w:rPr>
                <w:rFonts w:hint="eastAsia" w:ascii="仿宋" w:hAnsi="仿宋" w:eastAsia="仿宋" w:cs="仿宋"/>
                <w:color w:val="auto"/>
                <w:sz w:val="20"/>
                <w:szCs w:val="20"/>
                <w:highlight w:val="none"/>
              </w:rPr>
            </w:pPr>
          </w:p>
        </w:tc>
      </w:tr>
      <w:tr w14:paraId="79C95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56B9FE03">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磋商报价（大写）：                             （小写：￥       ）</w:t>
            </w:r>
          </w:p>
        </w:tc>
      </w:tr>
      <w:tr w14:paraId="46BEA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73D2DD4B">
            <w:pPr>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注：本次</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报价为含税报价，报价保留小数点后两位。</w:t>
            </w:r>
          </w:p>
        </w:tc>
      </w:tr>
    </w:tbl>
    <w:p w14:paraId="7374E3C9">
      <w:pPr>
        <w:tabs>
          <w:tab w:val="left" w:pos="7200"/>
          <w:tab w:val="left" w:pos="8504"/>
        </w:tabs>
        <w:spacing w:line="360" w:lineRule="auto"/>
        <w:ind w:right="-1"/>
        <w:rPr>
          <w:rFonts w:hint="eastAsia" w:ascii="仿宋" w:hAnsi="仿宋" w:eastAsia="仿宋" w:cs="仿宋"/>
          <w:color w:val="auto"/>
          <w:sz w:val="20"/>
          <w:szCs w:val="20"/>
          <w:highlight w:val="none"/>
        </w:rPr>
      </w:pPr>
    </w:p>
    <w:p w14:paraId="1EEFAF88">
      <w:pPr>
        <w:spacing w:line="120" w:lineRule="exact"/>
        <w:rPr>
          <w:rFonts w:hint="eastAsia" w:ascii="仿宋" w:hAnsi="仿宋" w:eastAsia="仿宋" w:cs="仿宋"/>
          <w:color w:val="auto"/>
          <w:sz w:val="20"/>
          <w:szCs w:val="20"/>
          <w:highlight w:val="none"/>
        </w:rPr>
      </w:pPr>
    </w:p>
    <w:p w14:paraId="29F816F3">
      <w:pPr>
        <w:spacing w:line="480" w:lineRule="auto"/>
        <w:ind w:right="540" w:rightChars="257"/>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（盖单位公章）</w:t>
      </w:r>
    </w:p>
    <w:p w14:paraId="5B491702">
      <w:pPr>
        <w:spacing w:line="480" w:lineRule="auto"/>
        <w:ind w:right="540" w:rightChars="257"/>
        <w:jc w:val="left"/>
        <w:rPr>
          <w:rFonts w:hint="eastAsia" w:ascii="仿宋" w:hAnsi="仿宋" w:eastAsia="仿宋" w:cs="仿宋"/>
          <w:color w:val="auto"/>
          <w:sz w:val="20"/>
          <w:szCs w:val="20"/>
          <w:highlight w:val="none"/>
        </w:rPr>
      </w:pPr>
    </w:p>
    <w:p w14:paraId="701E0F9E">
      <w:pPr>
        <w:spacing w:line="50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法定代表人或被授权人：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（签字或盖章）</w:t>
      </w:r>
    </w:p>
    <w:p w14:paraId="0071212C">
      <w:pPr>
        <w:spacing w:line="480" w:lineRule="auto"/>
        <w:ind w:right="540" w:rightChars="257"/>
        <w:jc w:val="left"/>
        <w:rPr>
          <w:rFonts w:hint="eastAsia" w:ascii="仿宋" w:hAnsi="仿宋" w:eastAsia="仿宋" w:cs="仿宋"/>
          <w:color w:val="auto"/>
          <w:sz w:val="20"/>
          <w:szCs w:val="20"/>
          <w:highlight w:val="none"/>
        </w:rPr>
      </w:pPr>
    </w:p>
    <w:p w14:paraId="794D9949">
      <w:pPr>
        <w:spacing w:line="480" w:lineRule="auto"/>
        <w:ind w:right="540" w:rightChars="257"/>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4FD54CBA">
      <w:pPr>
        <w:autoSpaceDE w:val="0"/>
        <w:autoSpaceDN w:val="0"/>
        <w:rPr>
          <w:rFonts w:hint="eastAsia" w:ascii="仿宋" w:hAnsi="仿宋" w:eastAsia="仿宋" w:cs="仿宋"/>
          <w:color w:val="auto"/>
          <w:sz w:val="21"/>
          <w:szCs w:val="21"/>
          <w:highlight w:val="none"/>
        </w:rPr>
      </w:pPr>
    </w:p>
    <w:bookmarkEnd w:id="23"/>
    <w:bookmarkEnd w:id="24"/>
    <w:bookmarkEnd w:id="25"/>
    <w:bookmarkEnd w:id="26"/>
    <w:bookmarkEnd w:id="27"/>
    <w:bookmarkEnd w:id="28"/>
    <w:p w14:paraId="73739BE5">
      <w:pPr>
        <w:spacing w:line="720" w:lineRule="auto"/>
        <w:rPr>
          <w:rFonts w:hint="eastAsia" w:ascii="仿宋" w:hAnsi="仿宋" w:eastAsia="仿宋" w:cs="仿宋"/>
          <w:b/>
          <w:color w:val="auto"/>
          <w:highlight w:val="none"/>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b/>
          <w:color w:val="auto"/>
          <w:highlight w:val="none"/>
        </w:rPr>
        <w:br w:type="page"/>
      </w:r>
      <w:bookmarkEnd w:id="29"/>
      <w:bookmarkStart w:id="30" w:name="_Toc21044"/>
      <w:bookmarkStart w:id="31" w:name="_Toc8657"/>
      <w:bookmarkStart w:id="32" w:name="_Toc32749"/>
      <w:bookmarkStart w:id="33" w:name="_Toc9028"/>
      <w:bookmarkStart w:id="34" w:name="_Toc30708"/>
      <w:bookmarkStart w:id="35" w:name="_Toc32030"/>
      <w:bookmarkStart w:id="36" w:name="_Toc10991"/>
      <w:bookmarkStart w:id="37" w:name="_Toc6005"/>
      <w:bookmarkStart w:id="38" w:name="_Toc18568"/>
    </w:p>
    <w:p w14:paraId="1F5C2D1E">
      <w:pPr>
        <w:jc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2.2分项报价表</w:t>
      </w:r>
    </w:p>
    <w:p w14:paraId="15FE88D8">
      <w:pPr>
        <w:pStyle w:val="3"/>
        <w:rPr>
          <w:rFonts w:hint="eastAsia" w:ascii="仿宋" w:hAnsi="仿宋" w:eastAsia="仿宋" w:cs="仿宋"/>
          <w:color w:val="auto"/>
          <w:sz w:val="22"/>
          <w:szCs w:val="22"/>
          <w:highlight w:val="none"/>
        </w:rPr>
      </w:pPr>
    </w:p>
    <w:p w14:paraId="13CC360D">
      <w:pPr>
        <w:rPr>
          <w:rFonts w:hint="eastAsia" w:ascii="仿宋" w:hAnsi="仿宋" w:eastAsia="仿宋" w:cs="仿宋"/>
          <w:color w:val="auto"/>
          <w:sz w:val="22"/>
          <w:szCs w:val="22"/>
          <w:highlight w:val="none"/>
        </w:rPr>
      </w:pPr>
    </w:p>
    <w:p w14:paraId="23664807">
      <w:pPr>
        <w:pStyle w:val="4"/>
        <w:ind w:left="1470" w:right="1470"/>
        <w:jc w:val="center"/>
        <w:rPr>
          <w:rFonts w:hint="eastAsia" w:ascii="仿宋" w:hAnsi="仿宋" w:eastAsia="仿宋" w:cs="仿宋"/>
          <w:b/>
          <w:bCs/>
          <w:color w:val="auto"/>
          <w:highlight w:val="none"/>
        </w:rPr>
      </w:pPr>
      <w:r>
        <w:rPr>
          <w:rFonts w:hint="eastAsia" w:ascii="仿宋" w:hAnsi="仿宋" w:eastAsia="仿宋" w:cs="仿宋"/>
          <w:b/>
          <w:bCs/>
          <w:color w:val="auto"/>
          <w:sz w:val="22"/>
          <w:szCs w:val="22"/>
          <w:highlight w:val="none"/>
        </w:rPr>
        <w:t>（格式自拟）</w:t>
      </w:r>
    </w:p>
    <w:p w14:paraId="5E0B75C5">
      <w:pPr>
        <w:tabs>
          <w:tab w:val="right" w:pos="9072"/>
        </w:tabs>
        <w:spacing w:line="360" w:lineRule="auto"/>
        <w:ind w:firstLine="440" w:firstLineChars="200"/>
        <w:rPr>
          <w:rFonts w:hint="eastAsia" w:ascii="仿宋" w:hAnsi="仿宋" w:eastAsia="仿宋" w:cs="仿宋"/>
          <w:color w:val="auto"/>
          <w:sz w:val="22"/>
          <w:szCs w:val="22"/>
          <w:highlight w:val="none"/>
        </w:rPr>
      </w:pPr>
    </w:p>
    <w:p w14:paraId="002EB490">
      <w:pPr>
        <w:spacing w:line="720" w:lineRule="auto"/>
        <w:ind w:firstLine="440" w:firstLineChars="200"/>
        <w:jc w:val="left"/>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供应商名称：</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（盖单位公章）</w:t>
      </w:r>
    </w:p>
    <w:p w14:paraId="1FE0B0FD">
      <w:pPr>
        <w:spacing w:line="720" w:lineRule="auto"/>
        <w:ind w:firstLine="456" w:firstLineChars="200"/>
        <w:jc w:val="left"/>
        <w:rPr>
          <w:rFonts w:hint="eastAsia" w:ascii="仿宋" w:hAnsi="仿宋" w:eastAsia="仿宋" w:cs="仿宋"/>
          <w:color w:val="auto"/>
          <w:spacing w:val="4"/>
          <w:sz w:val="22"/>
          <w:szCs w:val="22"/>
          <w:highlight w:val="none"/>
        </w:rPr>
      </w:pPr>
      <w:r>
        <w:rPr>
          <w:rFonts w:hint="eastAsia" w:ascii="仿宋" w:hAnsi="仿宋" w:eastAsia="仿宋" w:cs="仿宋"/>
          <w:color w:val="auto"/>
          <w:spacing w:val="4"/>
          <w:sz w:val="22"/>
          <w:szCs w:val="22"/>
          <w:highlight w:val="none"/>
        </w:rPr>
        <w:t>法定代表人或被授权人：</w:t>
      </w:r>
      <w:r>
        <w:rPr>
          <w:rFonts w:hint="eastAsia" w:ascii="仿宋" w:hAnsi="仿宋" w:eastAsia="仿宋" w:cs="仿宋"/>
          <w:color w:val="auto"/>
          <w:spacing w:val="4"/>
          <w:sz w:val="22"/>
          <w:szCs w:val="22"/>
          <w:highlight w:val="none"/>
          <w:u w:val="single"/>
        </w:rPr>
        <w:t xml:space="preserve">            </w:t>
      </w:r>
      <w:r>
        <w:rPr>
          <w:rFonts w:hint="eastAsia" w:ascii="仿宋" w:hAnsi="仿宋" w:eastAsia="仿宋" w:cs="仿宋"/>
          <w:color w:val="auto"/>
          <w:spacing w:val="4"/>
          <w:sz w:val="22"/>
          <w:szCs w:val="22"/>
          <w:highlight w:val="none"/>
        </w:rPr>
        <w:t>（签字或盖章）</w:t>
      </w:r>
    </w:p>
    <w:p w14:paraId="6971A6C6">
      <w:pPr>
        <w:spacing w:line="72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    期：      年   月    日</w:t>
      </w:r>
    </w:p>
    <w:p w14:paraId="56C97C98">
      <w:pPr>
        <w:spacing w:line="720" w:lineRule="auto"/>
        <w:rPr>
          <w:rFonts w:hint="eastAsia" w:ascii="仿宋" w:hAnsi="仿宋" w:eastAsia="仿宋" w:cs="仿宋"/>
          <w:b/>
          <w:bCs/>
          <w:color w:val="auto"/>
          <w:sz w:val="28"/>
          <w:szCs w:val="32"/>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14:paraId="7EAD6D26">
      <w:pPr>
        <w:spacing w:line="720" w:lineRule="auto"/>
        <w:rPr>
          <w:rFonts w:hint="eastAsia" w:ascii="仿宋" w:hAnsi="仿宋" w:eastAsia="仿宋" w:cs="仿宋"/>
          <w:b/>
          <w:bCs/>
          <w:color w:val="auto"/>
          <w:sz w:val="28"/>
          <w:szCs w:val="32"/>
          <w:highlight w:val="none"/>
          <w:lang w:val="en-US" w:eastAsia="zh-CN" w:bidi="ar-SA"/>
        </w:rPr>
      </w:pPr>
      <w:r>
        <w:rPr>
          <w:rFonts w:hint="eastAsia" w:ascii="仿宋" w:hAnsi="仿宋" w:eastAsia="仿宋" w:cs="仿宋"/>
          <w:b/>
          <w:bCs/>
          <w:color w:val="auto"/>
          <w:sz w:val="28"/>
          <w:szCs w:val="32"/>
          <w:highlight w:val="none"/>
          <w:lang w:val="en-US" w:eastAsia="zh-CN" w:bidi="ar-SA"/>
        </w:rPr>
        <w:t>三、供应商参加政府采购活动承诺书</w:t>
      </w:r>
      <w:bookmarkEnd w:id="30"/>
      <w:bookmarkEnd w:id="31"/>
      <w:bookmarkEnd w:id="32"/>
      <w:bookmarkEnd w:id="33"/>
      <w:bookmarkEnd w:id="34"/>
      <w:bookmarkEnd w:id="35"/>
      <w:bookmarkEnd w:id="36"/>
      <w:bookmarkEnd w:id="37"/>
      <w:bookmarkEnd w:id="38"/>
    </w:p>
    <w:p w14:paraId="726D396F">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未签署下列承诺书的，其责任由供应商自行承担。</w:t>
      </w:r>
    </w:p>
    <w:p w14:paraId="32AB2F39">
      <w:pPr>
        <w:spacing w:before="166" w:beforeLines="50" w:line="500" w:lineRule="exact"/>
        <w:ind w:firstLine="402" w:firstLineChars="200"/>
        <w:rPr>
          <w:rFonts w:hint="eastAsia" w:ascii="仿宋" w:hAnsi="仿宋" w:eastAsia="仿宋" w:cs="仿宋"/>
          <w:b/>
          <w:bCs/>
          <w:color w:val="auto"/>
          <w:sz w:val="20"/>
          <w:szCs w:val="22"/>
          <w:highlight w:val="none"/>
        </w:rPr>
      </w:pPr>
      <w:r>
        <w:rPr>
          <w:rFonts w:hint="eastAsia" w:ascii="仿宋" w:hAnsi="仿宋" w:eastAsia="仿宋" w:cs="仿宋"/>
          <w:b/>
          <w:bCs/>
          <w:color w:val="auto"/>
          <w:sz w:val="20"/>
          <w:szCs w:val="22"/>
          <w:highlight w:val="none"/>
        </w:rPr>
        <w:t>（一）质量安全责任承诺书</w:t>
      </w:r>
    </w:p>
    <w:p w14:paraId="3FB943FE">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为保证本采购项目顺利进行，作为投标供应商，现郑重承诺：</w:t>
      </w:r>
    </w:p>
    <w:p w14:paraId="5E6A56FA">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1、我方投标产品的生产（包括设计、制造、安装、改造、维修等）、投入使用的材料等均完全符合国家现行质量、安全、环保标准和要求。</w:t>
      </w:r>
    </w:p>
    <w:p w14:paraId="2B1A35A1">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2、我方将严格按照国家现行相关储存、运输、安装调试技术标准及规范、服务标准及规范、施工标准及规范，在规定的时限内，保质、保量完成项目全部内容，并向采购人交付合格产品。</w:t>
      </w:r>
    </w:p>
    <w:p w14:paraId="06A4CF12">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3、对于因产品生产质量以及储存、运输、安装调试、服务、施工等过程中产生的任何安全事故，我方承担全部责任。</w:t>
      </w:r>
    </w:p>
    <w:p w14:paraId="049D31EB">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4、我方提供的货物、工程、服务等符合现行的国家、行业、地区、企业标准及要求，标准不一致的，以更为严格的为准，我方对提供的货物、工程、服务等的质量、安全、环保等承担全部责任。</w:t>
      </w:r>
    </w:p>
    <w:p w14:paraId="38451879">
      <w:pPr>
        <w:spacing w:line="500" w:lineRule="exact"/>
        <w:ind w:firstLine="400" w:firstLineChars="200"/>
        <w:rPr>
          <w:rFonts w:hint="eastAsia" w:ascii="仿宋" w:hAnsi="仿宋" w:eastAsia="仿宋" w:cs="仿宋"/>
          <w:color w:val="auto"/>
          <w:sz w:val="20"/>
          <w:szCs w:val="22"/>
          <w:highlight w:val="none"/>
        </w:rPr>
      </w:pPr>
    </w:p>
    <w:p w14:paraId="2675C07C">
      <w:pPr>
        <w:spacing w:line="500" w:lineRule="exact"/>
        <w:ind w:firstLine="3600" w:firstLineChars="18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（加盖公章）</w:t>
      </w:r>
    </w:p>
    <w:p w14:paraId="33929C38">
      <w:pPr>
        <w:spacing w:line="500" w:lineRule="exact"/>
        <w:ind w:firstLine="3800" w:firstLineChars="19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日期：　年　月　日</w:t>
      </w:r>
    </w:p>
    <w:p w14:paraId="781ECAD9">
      <w:pPr>
        <w:spacing w:line="500" w:lineRule="exact"/>
        <w:rPr>
          <w:rFonts w:hint="eastAsia" w:ascii="仿宋" w:hAnsi="仿宋" w:eastAsia="仿宋" w:cs="仿宋"/>
          <w:color w:val="auto"/>
          <w:highlight w:val="none"/>
        </w:rPr>
      </w:pPr>
    </w:p>
    <w:p w14:paraId="77C04993">
      <w:pPr>
        <w:spacing w:line="500" w:lineRule="exact"/>
        <w:rPr>
          <w:rFonts w:hint="eastAsia" w:ascii="仿宋" w:hAnsi="仿宋" w:eastAsia="仿宋" w:cs="仿宋"/>
          <w:color w:val="auto"/>
          <w:highlight w:val="none"/>
        </w:rPr>
      </w:pPr>
    </w:p>
    <w:p w14:paraId="445CB38C">
      <w:pPr>
        <w:spacing w:line="500" w:lineRule="exact"/>
        <w:rPr>
          <w:rFonts w:hint="eastAsia" w:ascii="仿宋" w:hAnsi="仿宋" w:eastAsia="仿宋" w:cs="仿宋"/>
          <w:color w:val="auto"/>
          <w:highlight w:val="none"/>
        </w:rPr>
      </w:pPr>
    </w:p>
    <w:p w14:paraId="6D9A5153">
      <w:pPr>
        <w:spacing w:line="500" w:lineRule="exact"/>
        <w:rPr>
          <w:rFonts w:hint="eastAsia" w:ascii="仿宋" w:hAnsi="仿宋" w:eastAsia="仿宋" w:cs="仿宋"/>
          <w:color w:val="auto"/>
          <w:highlight w:val="none"/>
        </w:rPr>
      </w:pPr>
    </w:p>
    <w:p w14:paraId="2B3B9F74">
      <w:pPr>
        <w:spacing w:line="500" w:lineRule="exact"/>
        <w:rPr>
          <w:rFonts w:hint="eastAsia" w:ascii="仿宋" w:hAnsi="仿宋" w:eastAsia="仿宋" w:cs="仿宋"/>
          <w:color w:val="auto"/>
          <w:highlight w:val="none"/>
        </w:rPr>
      </w:pPr>
    </w:p>
    <w:p w14:paraId="173B0CE4">
      <w:pPr>
        <w:pStyle w:val="8"/>
        <w:ind w:firstLine="180"/>
        <w:rPr>
          <w:rFonts w:hint="eastAsia" w:ascii="仿宋" w:hAnsi="仿宋" w:eastAsia="仿宋" w:cs="仿宋"/>
          <w:color w:val="auto"/>
          <w:highlight w:val="none"/>
        </w:rPr>
      </w:pPr>
    </w:p>
    <w:p w14:paraId="6F1FE2B7">
      <w:pPr>
        <w:pStyle w:val="8"/>
        <w:ind w:firstLine="180"/>
        <w:rPr>
          <w:rFonts w:hint="eastAsia" w:ascii="仿宋" w:hAnsi="仿宋" w:eastAsia="仿宋" w:cs="仿宋"/>
          <w:color w:val="auto"/>
          <w:highlight w:val="none"/>
        </w:rPr>
      </w:pPr>
    </w:p>
    <w:p w14:paraId="1831E63F">
      <w:pPr>
        <w:pStyle w:val="8"/>
        <w:ind w:firstLine="180"/>
        <w:rPr>
          <w:rFonts w:hint="eastAsia" w:ascii="仿宋" w:hAnsi="仿宋" w:eastAsia="仿宋" w:cs="仿宋"/>
          <w:color w:val="auto"/>
          <w:highlight w:val="none"/>
        </w:rPr>
      </w:pPr>
    </w:p>
    <w:p w14:paraId="7577E4F9">
      <w:pPr>
        <w:spacing w:line="500" w:lineRule="exact"/>
        <w:rPr>
          <w:rFonts w:hint="eastAsia" w:ascii="仿宋" w:hAnsi="仿宋" w:eastAsia="仿宋" w:cs="仿宋"/>
          <w:color w:val="auto"/>
          <w:highlight w:val="none"/>
        </w:rPr>
      </w:pPr>
    </w:p>
    <w:p w14:paraId="565C9E56">
      <w:pPr>
        <w:pStyle w:val="8"/>
        <w:ind w:firstLine="180"/>
        <w:rPr>
          <w:rFonts w:hint="eastAsia" w:ascii="仿宋" w:hAnsi="仿宋" w:eastAsia="仿宋" w:cs="仿宋"/>
          <w:color w:val="auto"/>
          <w:highlight w:val="none"/>
        </w:rPr>
      </w:pPr>
    </w:p>
    <w:p w14:paraId="5E08AC58">
      <w:pPr>
        <w:rPr>
          <w:rFonts w:hint="eastAsia" w:ascii="仿宋" w:hAnsi="仿宋" w:eastAsia="仿宋" w:cs="仿宋"/>
          <w:b/>
          <w:bCs/>
          <w:color w:val="auto"/>
          <w:highlight w:val="none"/>
        </w:rPr>
      </w:pPr>
    </w:p>
    <w:p w14:paraId="7E8B4DC0">
      <w:pPr>
        <w:spacing w:before="166" w:beforeLines="50" w:line="500" w:lineRule="exact"/>
        <w:ind w:firstLine="402" w:firstLineChars="200"/>
        <w:rPr>
          <w:rFonts w:hint="eastAsia" w:ascii="仿宋" w:hAnsi="仿宋" w:eastAsia="仿宋" w:cs="仿宋"/>
          <w:b/>
          <w:bCs/>
          <w:color w:val="auto"/>
          <w:sz w:val="20"/>
          <w:szCs w:val="22"/>
          <w:highlight w:val="none"/>
        </w:rPr>
      </w:pPr>
      <w:r>
        <w:rPr>
          <w:rFonts w:hint="eastAsia" w:ascii="仿宋" w:hAnsi="仿宋" w:eastAsia="仿宋" w:cs="仿宋"/>
          <w:b/>
          <w:bCs/>
          <w:color w:val="auto"/>
          <w:sz w:val="20"/>
          <w:szCs w:val="22"/>
          <w:highlight w:val="none"/>
        </w:rPr>
        <w:t>（二）拒绝政府采购领域商业贿赂承诺书</w:t>
      </w:r>
    </w:p>
    <w:p w14:paraId="0D6292A5">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为响应党中央、国务院关于治理政府采购领域商业贿赂行为的号召，我公司在此庄严承诺：</w:t>
      </w:r>
    </w:p>
    <w:p w14:paraId="730DACCB">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1、在参与政府采购活动中遵纪守法、诚信经营、公平竞标。</w:t>
      </w:r>
    </w:p>
    <w:p w14:paraId="6FD818A2">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2、不向政府采购人、采购代理机构和政府采购评审专家进行任何形式的商业贿赂以谋取交易机会。</w:t>
      </w:r>
    </w:p>
    <w:p w14:paraId="6F8DAD00">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3、不向政府采购代理机构和采购人提供虚假资质文件或采用虚假应标方式参与政府采购市场竞争并谋取成交、成交。</w:t>
      </w:r>
    </w:p>
    <w:p w14:paraId="5E13045B">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4、不采取“围标、陪标”等商业欺诈手段获得政府采购定单。</w:t>
      </w:r>
    </w:p>
    <w:p w14:paraId="6C6A286F">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5、不采取不正当手段诋毁、排挤其他供应商。</w:t>
      </w:r>
    </w:p>
    <w:p w14:paraId="135D9EF8">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6、不在提供商品和服务时“偷梁换柱、以次充好”损害采购人的合法权益。</w:t>
      </w:r>
    </w:p>
    <w:p w14:paraId="2A483A86">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7、不与采购人、采购代理机构政府采购评审专家或其它供应商恶意串通，进行质疑和投诉，维护政府采购市场秩序。</w:t>
      </w:r>
    </w:p>
    <w:p w14:paraId="2F964EE5">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8、尊重和接受政府采购监督管理部门的监督和政府采购代理机构招标采购要求，承担因违约行为给采购人造成的损失。</w:t>
      </w:r>
    </w:p>
    <w:p w14:paraId="35914A48">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9、不发生其他有悖于政府采购公开、公平、公正和诚信原则的行为。</w:t>
      </w:r>
    </w:p>
    <w:p w14:paraId="3714A83F">
      <w:pPr>
        <w:spacing w:line="500" w:lineRule="exact"/>
        <w:rPr>
          <w:rFonts w:hint="eastAsia" w:ascii="仿宋" w:hAnsi="仿宋" w:eastAsia="仿宋" w:cs="仿宋"/>
          <w:color w:val="auto"/>
          <w:sz w:val="20"/>
          <w:szCs w:val="22"/>
          <w:highlight w:val="none"/>
        </w:rPr>
      </w:pPr>
    </w:p>
    <w:p w14:paraId="76963FBA">
      <w:pPr>
        <w:spacing w:line="500" w:lineRule="exact"/>
        <w:ind w:firstLine="3600" w:firstLineChars="18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（加盖公章）</w:t>
      </w:r>
    </w:p>
    <w:p w14:paraId="7DCE65F3">
      <w:pPr>
        <w:spacing w:line="500" w:lineRule="exact"/>
        <w:ind w:firstLine="3800" w:firstLineChars="19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日期：　  年　月　日</w:t>
      </w:r>
    </w:p>
    <w:p w14:paraId="7564C6E9">
      <w:pPr>
        <w:spacing w:after="166" w:afterLines="50" w:line="360" w:lineRule="auto"/>
        <w:outlineLvl w:val="2"/>
        <w:rPr>
          <w:rFonts w:hint="eastAsia" w:ascii="仿宋" w:hAnsi="仿宋" w:eastAsia="仿宋" w:cs="仿宋"/>
          <w:b/>
          <w:bCs/>
          <w:color w:val="auto"/>
          <w:sz w:val="32"/>
          <w:szCs w:val="32"/>
          <w:highlight w:val="none"/>
          <w:lang w:eastAsia="zh-CN"/>
        </w:rPr>
      </w:pPr>
      <w:r>
        <w:rPr>
          <w:rFonts w:hint="eastAsia" w:ascii="仿宋" w:hAnsi="仿宋" w:eastAsia="仿宋" w:cs="仿宋"/>
          <w:color w:val="auto"/>
          <w:highlight w:val="none"/>
        </w:rPr>
        <w:br w:type="page"/>
      </w:r>
      <w:r>
        <w:rPr>
          <w:rFonts w:hint="eastAsia" w:ascii="仿宋" w:hAnsi="仿宋" w:eastAsia="仿宋" w:cs="仿宋"/>
          <w:b/>
          <w:bCs/>
          <w:color w:val="auto"/>
          <w:sz w:val="32"/>
          <w:szCs w:val="32"/>
          <w:highlight w:val="none"/>
          <w:lang w:val="en-US" w:eastAsia="zh-CN"/>
        </w:rPr>
        <w:t>四、</w:t>
      </w:r>
      <w:r>
        <w:rPr>
          <w:rFonts w:hint="eastAsia" w:ascii="仿宋" w:hAnsi="仿宋" w:eastAsia="仿宋" w:cs="仿宋"/>
          <w:b/>
          <w:bCs/>
          <w:color w:val="auto"/>
          <w:sz w:val="32"/>
          <w:szCs w:val="32"/>
          <w:highlight w:val="none"/>
          <w:lang w:eastAsia="zh-CN"/>
        </w:rPr>
        <w:t>商务条款偏离表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30EE9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F738502">
            <w:pPr>
              <w:pStyle w:val="7"/>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85832C0">
            <w:pPr>
              <w:pStyle w:val="7"/>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200C498">
            <w:pPr>
              <w:pStyle w:val="7"/>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B2EB055">
            <w:pPr>
              <w:pStyle w:val="7"/>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C043675">
            <w:pPr>
              <w:pStyle w:val="7"/>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019A058F">
            <w:pPr>
              <w:pStyle w:val="7"/>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tc>
      </w:tr>
      <w:tr w14:paraId="68312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5532FD9">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076E01C">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67B4A73">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9D25C1B">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9521888">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1ECBFA8">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42A09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47FE05F">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E8A81AC">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288B1C7">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9699CF4">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89E1C77">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D814475">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31D23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71606CD">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76BF57B">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72CD938">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BC3408A">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B09608C">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CB4E404">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17AA2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446ACE4">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1260BA0">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C8B83E8">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EEB27ED">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9C650E">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232B103">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4BD0F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0882AB4">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CAD274E">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A96F7FE">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E182062">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83CE35D">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1FDB682">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1EFFE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55CA5C3">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CC1020E">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CF56B77">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E11720D">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31324A9">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714F4FA">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3DC70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3B765BF">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AE23CCB">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DF955AF">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2A01D02">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E121DE1">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EE3C94E">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bl>
    <w:p w14:paraId="7CEF6D14">
      <w:pPr>
        <w:spacing w:line="500" w:lineRule="exact"/>
        <w:ind w:firstLine="420" w:firstLineChars="200"/>
        <w:rPr>
          <w:rFonts w:hint="eastAsia" w:ascii="仿宋" w:hAnsi="仿宋" w:eastAsia="仿宋" w:cs="仿宋"/>
          <w:color w:val="auto"/>
          <w:highlight w:val="none"/>
        </w:rPr>
      </w:pPr>
    </w:p>
    <w:p w14:paraId="4137D28D">
      <w:pPr>
        <w:pStyle w:val="3"/>
        <w:spacing w:after="190"/>
        <w:rPr>
          <w:rFonts w:hint="eastAsia" w:ascii="仿宋" w:hAnsi="仿宋" w:eastAsia="仿宋" w:cs="仿宋"/>
          <w:color w:val="auto"/>
          <w:sz w:val="20"/>
          <w:szCs w:val="20"/>
          <w:highlight w:val="none"/>
        </w:rPr>
      </w:pPr>
    </w:p>
    <w:p w14:paraId="03057EA9">
      <w:pPr>
        <w:pStyle w:val="7"/>
        <w:widowControl w:val="0"/>
        <w:spacing w:before="0" w:beforeAutospacing="0" w:after="0" w:afterAutospacing="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51B3153E">
      <w:pPr>
        <w:pStyle w:val="7"/>
        <w:widowControl w:val="0"/>
        <w:spacing w:before="0" w:beforeAutospacing="0" w:after="0" w:afterAutospacing="0" w:line="500" w:lineRule="exact"/>
        <w:ind w:firstLine="402" w:firstLineChars="200"/>
        <w:jc w:val="both"/>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1、本表只填写竞争性磋商响应文件中与竞争性磋商文件有偏离（包括正偏离和负偏离）的内容，竞争性磋商响应文件中商务响应与竞争性磋商文件要求完全一致的，不用在此表中列出，但必须提交空白表。</w:t>
      </w:r>
    </w:p>
    <w:p w14:paraId="01C2F299">
      <w:pPr>
        <w:pStyle w:val="7"/>
        <w:widowControl w:val="0"/>
        <w:spacing w:before="0" w:beforeAutospacing="0" w:after="0" w:afterAutospacing="0"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2、供应商必须据实填写，不得虚假响应，否则将取消其投标或成交资格，并按有关规定进</w:t>
      </w:r>
      <w:r>
        <w:rPr>
          <w:rFonts w:hint="eastAsia" w:ascii="仿宋" w:hAnsi="仿宋" w:eastAsia="仿宋" w:cs="仿宋"/>
          <w:color w:val="auto"/>
          <w:sz w:val="20"/>
          <w:szCs w:val="20"/>
          <w:highlight w:val="none"/>
          <w:lang w:val="en-US" w:eastAsia="zh-CN"/>
        </w:rPr>
        <w:t>行</w:t>
      </w:r>
      <w:r>
        <w:rPr>
          <w:rFonts w:hint="eastAsia" w:ascii="仿宋" w:hAnsi="仿宋" w:eastAsia="仿宋" w:cs="仿宋"/>
          <w:color w:val="auto"/>
          <w:sz w:val="20"/>
          <w:szCs w:val="20"/>
          <w:highlight w:val="none"/>
        </w:rPr>
        <w:t>处罚。</w:t>
      </w:r>
    </w:p>
    <w:p w14:paraId="0F36206A">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p w14:paraId="531A99A4">
      <w:pPr>
        <w:pStyle w:val="7"/>
        <w:widowControl w:val="0"/>
        <w:spacing w:before="0" w:beforeAutospacing="0" w:after="0" w:afterAutospacing="0"/>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524B96AD">
      <w:pPr>
        <w:pStyle w:val="7"/>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p w14:paraId="70BCBD54">
      <w:pPr>
        <w:pStyle w:val="7"/>
        <w:widowControl w:val="0"/>
        <w:spacing w:before="0" w:beforeAutospacing="0" w:after="0" w:afterAutospacing="0"/>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2EF9A46E">
      <w:pPr>
        <w:spacing w:line="52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1592BD2C">
      <w:pPr>
        <w:spacing w:line="520" w:lineRule="exact"/>
        <w:rPr>
          <w:rFonts w:hint="eastAsia" w:ascii="宋体" w:hAnsi="宋体" w:eastAsia="宋体" w:cs="宋体"/>
          <w:color w:val="auto"/>
          <w:sz w:val="20"/>
          <w:szCs w:val="20"/>
          <w:highlight w:val="none"/>
        </w:rPr>
      </w:pPr>
      <w:bookmarkStart w:id="39" w:name="_GoBack"/>
      <w:bookmarkEnd w:id="39"/>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4663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989606">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3989606">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0A25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74575B">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74575B">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5227BC"/>
    <w:rsid w:val="27C117C9"/>
    <w:rsid w:val="62A158C6"/>
    <w:rsid w:val="66D14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Block Text"/>
    <w:basedOn w:val="1"/>
    <w:qFormat/>
    <w:uiPriority w:val="0"/>
    <w:pPr>
      <w:spacing w:after="120"/>
      <w:ind w:left="1440" w:leftChars="700" w:right="700" w:rightChars="700"/>
    </w:pPr>
    <w:rPr>
      <w:rFonts w:ascii="Times New Roman" w:hAnsi="Times New Roman" w:eastAsia="宋体" w:cs="Times New Roman"/>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toc 1"/>
    <w:basedOn w:val="1"/>
    <w:next w:val="1"/>
    <w:unhideWhenUsed/>
    <w:qFormat/>
    <w:uiPriority w:val="39"/>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8">
    <w:name w:val="Body Text First Indent"/>
    <w:basedOn w:val="3"/>
    <w:unhideWhenUsed/>
    <w:qFormat/>
    <w:uiPriority w:val="0"/>
    <w:pPr>
      <w:spacing w:line="240" w:lineRule="auto"/>
      <w:ind w:firstLine="420" w:firstLineChars="100"/>
    </w:pPr>
    <w:rPr>
      <w:rFonts w:ascii="Times New Roman" w:hAnsi="Times New Roman"/>
      <w:sz w:val="18"/>
      <w:szCs w:val="18"/>
    </w:rPr>
  </w:style>
  <w:style w:type="paragraph" w:customStyle="1" w:styleId="11">
    <w:name w:val="标题 2（投标文件）"/>
    <w:basedOn w:val="2"/>
    <w:autoRedefine/>
    <w:qFormat/>
    <w:uiPriority w:val="99"/>
    <w:pPr>
      <w:jc w:val="center"/>
    </w:pPr>
  </w:style>
  <w:style w:type="paragraph" w:customStyle="1" w:styleId="12">
    <w:name w:val="正文（缩进 2 字符）"/>
    <w:basedOn w:val="1"/>
    <w:autoRedefine/>
    <w:qFormat/>
    <w:uiPriority w:val="99"/>
    <w:pPr>
      <w:ind w:firstLine="20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1741</Words>
  <Characters>1742</Characters>
  <Lines>0</Lines>
  <Paragraphs>0</Paragraphs>
  <TotalTime>0</TotalTime>
  <ScaleCrop>false</ScaleCrop>
  <LinksUpToDate>false</LinksUpToDate>
  <CharactersWithSpaces>1944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2025-05-23T01:20:00Z</dcterms:created>
  <dc:creator>13983</dc:creator>
  <cp:lastModifiedBy>清欢</cp:lastModifiedBy>
  <dcterms:modified xsi:type="dcterms:W3CDTF">2025-06-15T10:23:01Z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eyJoZGlkIjoiY2U2MGYyZWMzYTEzNTg2MTQ1OGQ1NzQ1ZDhkMGM0Y2QiLCJ1c2VySWQiOiI0MTIyNjcyMjEifQ==</vt:lpwstr>
  </property>
  <property fmtid="{D5CDD505-2E9C-101B-9397-08002B2CF9AE}" pid="4" name="ICV">
    <vt:lpwstr>FA9B1C01E6DD403483E244A6AD31102C_12</vt:lpwstr>
  </property>
</Properties>
</file>