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版本号：JXDZ2025-ZCHY-060420250613001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秦岭生态环境保护智慧管控系统2025年度网络服务项目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JXDZ2025-ZCHY-0604</w:t>
      </w:r>
      <w:r>
        <w:br/>
      </w:r>
      <w:r>
        <w:br/>
      </w:r>
      <w:r>
        <w:br/>
      </w:r>
    </w:p>
    <w:p>
      <w:pPr>
        <w:pStyle w:val="null3"/>
        <w:jc w:val="center"/>
        <w:outlineLvl w:val="2"/>
      </w:pPr>
      <w:r>
        <w:rPr>
          <w:rFonts w:ascii="仿宋_GB2312" w:hAnsi="仿宋_GB2312" w:cs="仿宋_GB2312" w:eastAsia="仿宋_GB2312"/>
          <w:sz w:val="28"/>
          <w:b/>
        </w:rPr>
        <w:t>西安市鄠邑区秦岭生态环境保护总站</w:t>
      </w:r>
    </w:p>
    <w:p>
      <w:pPr>
        <w:pStyle w:val="null3"/>
        <w:jc w:val="center"/>
        <w:outlineLvl w:val="2"/>
      </w:pPr>
      <w:r>
        <w:rPr>
          <w:rFonts w:ascii="仿宋_GB2312" w:hAnsi="仿宋_GB2312" w:cs="仿宋_GB2312" w:eastAsia="仿宋_GB2312"/>
          <w:sz w:val="28"/>
          <w:b/>
        </w:rPr>
        <w:t>陕西钜信达工程项目管理有限公司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陕西钜信达工程项目管理有限公司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西安市鄠邑区秦岭生态环境保护总站</w:t>
      </w:r>
      <w:r>
        <w:rPr>
          <w:rFonts w:ascii="仿宋_GB2312" w:hAnsi="仿宋_GB2312" w:cs="仿宋_GB2312" w:eastAsia="仿宋_GB2312"/>
        </w:rPr>
        <w:t>委托，拟对</w:t>
      </w:r>
      <w:r>
        <w:rPr>
          <w:rFonts w:ascii="仿宋_GB2312" w:hAnsi="仿宋_GB2312" w:cs="仿宋_GB2312" w:eastAsia="仿宋_GB2312"/>
        </w:rPr>
        <w:t>秦岭生态环境保护智慧管控系统2025年度网络服务项目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JXDZ2025-ZCHY-0604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秦岭生态环境保护智慧管控系统2025年度网络服务项目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秦岭生态环境保护智慧管控系统2025年度网络服务项目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1、营业执照等主体资格证明文件：提供有效存续的企业营业执照（副本）/事业单位法人证书/专业服务机构执业许可证/民办非企业单位登记证书/自然人身份证明；</w:t>
      </w:r>
    </w:p>
    <w:p>
      <w:pPr>
        <w:pStyle w:val="null3"/>
      </w:pPr>
      <w:r>
        <w:rPr>
          <w:rFonts w:ascii="仿宋_GB2312" w:hAnsi="仿宋_GB2312" w:cs="仿宋_GB2312" w:eastAsia="仿宋_GB2312"/>
        </w:rPr>
        <w:t>2、财务状况报告：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3、社保缴纳证明：提供首次响应文件递交截止时间前6个月内任意时段的缴纳证明。依法不需要交纳社会保障资金的供应商应提供相关文件证明。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首次响应文件递交截止时间前6个月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5、履行合同承诺函：提供具有履行合同所必需的设备和专业技术能力的承诺函。</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法定代表人（或负责人）身份证明/法定代表人（或负责人）授权委托书：法定代表人（或负责人）身份证明/法定代表人（或负责人）授权委托书：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p>
      <w:pPr>
        <w:pStyle w:val="null3"/>
      </w:pPr>
      <w:r>
        <w:rPr>
          <w:rFonts w:ascii="仿宋_GB2312" w:hAnsi="仿宋_GB2312" w:cs="仿宋_GB2312" w:eastAsia="仿宋_GB2312"/>
        </w:rPr>
        <w:t>8、信用记录：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案件当事人”名单；不处于“中国政府采购网”记录的“政府采购严重违法失信行为记录名单 ”中的禁止参加政府采购活动期间。</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10、供应商书面声明：供应商未为本项目提供整体设计、规范编制或者项目管理、监理、检测等服务的书面声明。</w:t>
      </w:r>
    </w:p>
    <w:p>
      <w:pPr>
        <w:pStyle w:val="null3"/>
      </w:pPr>
      <w:r>
        <w:rPr>
          <w:rFonts w:ascii="仿宋_GB2312" w:hAnsi="仿宋_GB2312" w:cs="仿宋_GB2312" w:eastAsia="仿宋_GB2312"/>
        </w:rPr>
        <w:t>11、供应商提供参与磋商的承诺函：符合竞争性磋商文件要求。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西安市鄠邑区秦岭生态环境保护总站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西安市鄠邑区沣京路42号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029-84886181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陕西钜信达工程项目管理有限公司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 111号中京坊公寓B座623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02982292656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标准，不足捌仟的按捌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西安市鄠邑区秦岭生态环境保护总站</w:t>
      </w:r>
      <w:r>
        <w:rPr>
          <w:rFonts w:ascii="仿宋_GB2312" w:hAnsi="仿宋_GB2312" w:cs="仿宋_GB2312" w:eastAsia="仿宋_GB2312"/>
        </w:rPr>
        <w:t>和</w:t>
      </w:r>
      <w:r>
        <w:rPr>
          <w:rFonts w:ascii="仿宋_GB2312" w:hAnsi="仿宋_GB2312" w:cs="仿宋_GB2312" w:eastAsia="仿宋_GB2312"/>
        </w:rPr>
        <w:t>陕西钜信达工程项目管理有限公司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西安市鄠邑区秦岭生态环境保护总站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陕西钜信达工程项目管理有限公司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西安市鄠邑区秦岭生态环境保护总站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陕西钜信达工程项目管理有限公司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w:t>
      </w:r>
    </w:p>
    <w:p>
      <w:pPr>
        <w:pStyle w:val="null3"/>
      </w:pPr>
      <w:r>
        <w:rPr>
          <w:rFonts w:ascii="仿宋_GB2312" w:hAnsi="仿宋_GB2312" w:cs="仿宋_GB2312" w:eastAsia="仿宋_GB2312"/>
        </w:rPr>
        <w:t>联系电话：029-82292656</w:t>
      </w:r>
    </w:p>
    <w:p>
      <w:pPr>
        <w:pStyle w:val="null3"/>
      </w:pPr>
      <w:r>
        <w:rPr>
          <w:rFonts w:ascii="仿宋_GB2312" w:hAnsi="仿宋_GB2312" w:cs="仿宋_GB2312" w:eastAsia="仿宋_GB2312"/>
        </w:rPr>
        <w:t>地址：西安市雁塔区雁翔路 111号中京坊公寓B座623 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西安市鄠邑区秦岭生态环境保护智慧管控系统于2020年建设完成并投入使用。自2020 年完成建设以来，已经累计运营时间超过36个月，项目所用使用网络传输服务已到期。为了智慧管控系统的正常运转，本次采购各系统相关设备所用的组网网络传输服务。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2025年度网络服务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标的名称：2025年度网络服务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spacing w:before="105" w:after="105"/>
              <w:ind w:firstLine="480"/>
              <w:jc w:val="both"/>
            </w:pPr>
            <w:r>
              <w:rPr>
                <w:rFonts w:ascii="仿宋_GB2312" w:hAnsi="仿宋_GB2312" w:cs="仿宋_GB2312" w:eastAsia="仿宋_GB2312"/>
                <w:sz w:val="24"/>
              </w:rPr>
              <w:t>西安市鄠邑区秦岭生态环境保护智慧管控系统于</w:t>
            </w:r>
            <w:r>
              <w:rPr>
                <w:rFonts w:ascii="仿宋_GB2312" w:hAnsi="仿宋_GB2312" w:cs="仿宋_GB2312" w:eastAsia="仿宋_GB2312"/>
                <w:sz w:val="24"/>
              </w:rPr>
              <w:t>2020年建设完成并投入使用。自2020 年完成建设以来，已经累计运营时间超过36个月，项目所用使用网络传输服务已到期。为了智慧管控系统的正常运转，本次采购各系统相关设备所用的组网网络传输服务。</w:t>
            </w:r>
          </w:p>
          <w:p>
            <w:pPr>
              <w:pStyle w:val="null3"/>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1、提供智慧管控中心的互联网网络服务；</w:t>
            </w:r>
          </w:p>
          <w:p>
            <w:pPr>
              <w:pStyle w:val="null3"/>
              <w:ind w:firstLine="480"/>
              <w:jc w:val="both"/>
            </w:pPr>
            <w:r>
              <w:rPr>
                <w:rFonts w:ascii="仿宋_GB2312" w:hAnsi="仿宋_GB2312" w:cs="仿宋_GB2312" w:eastAsia="仿宋_GB2312"/>
                <w:sz w:val="24"/>
              </w:rPr>
              <w:t>2、提供智慧管控一期项目前端设备的内网传输服务；</w:t>
            </w:r>
          </w:p>
          <w:p>
            <w:pPr>
              <w:pStyle w:val="null3"/>
              <w:jc w:val="both"/>
            </w:pPr>
            <w:r>
              <w:rPr>
                <w:rFonts w:ascii="仿宋_GB2312" w:hAnsi="仿宋_GB2312" w:cs="仿宋_GB2312" w:eastAsia="仿宋_GB2312"/>
                <w:sz w:val="24"/>
                <w:b/>
              </w:rPr>
              <w:t>三、技术内容</w:t>
            </w:r>
          </w:p>
          <w:p>
            <w:pPr>
              <w:pStyle w:val="null3"/>
              <w:ind w:firstLine="480"/>
              <w:jc w:val="both"/>
            </w:pPr>
            <w:r>
              <w:rPr>
                <w:rFonts w:ascii="仿宋_GB2312" w:hAnsi="仿宋_GB2312" w:cs="仿宋_GB2312" w:eastAsia="仿宋_GB2312"/>
                <w:sz w:val="24"/>
              </w:rPr>
              <w:t>1、组网网络包括数字电路、视频专线、光纤专线等；</w:t>
            </w:r>
          </w:p>
          <w:p>
            <w:pPr>
              <w:pStyle w:val="null3"/>
              <w:ind w:firstLine="480"/>
              <w:jc w:val="both"/>
            </w:pPr>
            <w:r>
              <w:rPr>
                <w:rFonts w:ascii="仿宋_GB2312" w:hAnsi="仿宋_GB2312" w:cs="仿宋_GB2312" w:eastAsia="仿宋_GB2312"/>
                <w:sz w:val="24"/>
              </w:rPr>
              <w:t>2、熟悉并掌握当前主流的网络线路技术标准和规范；</w:t>
            </w:r>
          </w:p>
          <w:p>
            <w:pPr>
              <w:pStyle w:val="null3"/>
              <w:jc w:val="both"/>
            </w:pPr>
            <w:r>
              <w:rPr>
                <w:rFonts w:ascii="仿宋_GB2312" w:hAnsi="仿宋_GB2312" w:cs="仿宋_GB2312" w:eastAsia="仿宋_GB2312"/>
                <w:sz w:val="24"/>
                <w:b/>
              </w:rPr>
              <w:t>四、服务要求</w:t>
            </w:r>
          </w:p>
          <w:p>
            <w:pPr>
              <w:pStyle w:val="null3"/>
              <w:ind w:firstLine="480"/>
              <w:jc w:val="both"/>
            </w:pPr>
            <w:r>
              <w:rPr>
                <w:rFonts w:ascii="仿宋_GB2312" w:hAnsi="仿宋_GB2312" w:cs="仿宋_GB2312" w:eastAsia="仿宋_GB2312"/>
                <w:sz w:val="24"/>
              </w:rPr>
              <w:t>1、对现有的系统和组网情况要求充分了解，能定期对网络线路进行性能检测与评估，确保网络安全稳定可靠；</w:t>
            </w:r>
          </w:p>
          <w:p>
            <w:pPr>
              <w:pStyle w:val="null3"/>
              <w:ind w:firstLine="480"/>
              <w:jc w:val="both"/>
            </w:pPr>
            <w:r>
              <w:rPr>
                <w:rFonts w:ascii="仿宋_GB2312" w:hAnsi="仿宋_GB2312" w:cs="仿宋_GB2312" w:eastAsia="仿宋_GB2312"/>
                <w:sz w:val="24"/>
              </w:rPr>
              <w:t>2、建立完善的故障处理流程，确保故障发生后能够迅速响应并修复；</w:t>
            </w:r>
          </w:p>
          <w:p>
            <w:pPr>
              <w:pStyle w:val="null3"/>
              <w:ind w:firstLine="480"/>
              <w:jc w:val="both"/>
            </w:pPr>
            <w:r>
              <w:rPr>
                <w:rFonts w:ascii="仿宋_GB2312" w:hAnsi="仿宋_GB2312" w:cs="仿宋_GB2312" w:eastAsia="仿宋_GB2312"/>
                <w:sz w:val="24"/>
              </w:rPr>
              <w:t>3、能够提供7x24小时的技术支持与故障响应服务；</w:t>
            </w:r>
          </w:p>
          <w:p>
            <w:pPr>
              <w:pStyle w:val="null3"/>
              <w:ind w:firstLine="480"/>
              <w:jc w:val="both"/>
            </w:pPr>
            <w:r>
              <w:rPr>
                <w:rFonts w:ascii="仿宋_GB2312" w:hAnsi="仿宋_GB2312" w:cs="仿宋_GB2312" w:eastAsia="仿宋_GB2312"/>
                <w:sz w:val="24"/>
              </w:rPr>
              <w:t>4、拥有专业的网络线路维保技术团队和应急响应机制；</w:t>
            </w:r>
          </w:p>
          <w:p>
            <w:pPr>
              <w:pStyle w:val="null3"/>
              <w:jc w:val="both"/>
            </w:pPr>
            <w:r>
              <w:rPr>
                <w:rFonts w:ascii="仿宋_GB2312" w:hAnsi="仿宋_GB2312" w:cs="仿宋_GB2312" w:eastAsia="仿宋_GB2312"/>
                <w:sz w:val="24"/>
                <w:b/>
              </w:rPr>
              <w:t>五、商务要求</w:t>
            </w:r>
          </w:p>
          <w:p>
            <w:pPr>
              <w:pStyle w:val="null3"/>
              <w:ind w:firstLine="480"/>
              <w:jc w:val="both"/>
            </w:pP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自合同签订之日起</w:t>
            </w:r>
            <w:r>
              <w:rPr>
                <w:rFonts w:ascii="仿宋_GB2312" w:hAnsi="仿宋_GB2312" w:cs="仿宋_GB2312" w:eastAsia="仿宋_GB2312"/>
                <w:sz w:val="24"/>
              </w:rPr>
              <w:t>1年。</w:t>
            </w:r>
          </w:p>
          <w:p>
            <w:pPr>
              <w:pStyle w:val="null3"/>
              <w:ind w:firstLine="480"/>
              <w:jc w:val="both"/>
            </w:pP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每季度后一周内按照考核结果支付上一季度网络费用。</w:t>
            </w:r>
          </w:p>
          <w:p>
            <w:pPr>
              <w:pStyle w:val="null3"/>
              <w:numPr>
                <w:ilvl w:val="0"/>
                <w:numId w:val="1"/>
              </w:numPr>
              <w:ind w:left="120"/>
              <w:jc w:val="both"/>
            </w:pPr>
            <w:r>
              <w:rPr>
                <w:rFonts w:ascii="仿宋_GB2312" w:hAnsi="仿宋_GB2312" w:cs="仿宋_GB2312" w:eastAsia="仿宋_GB2312"/>
                <w:sz w:val="24"/>
              </w:rPr>
              <w:t>考核标准（满分</w:t>
            </w:r>
            <w:r>
              <w:rPr>
                <w:rFonts w:ascii="仿宋_GB2312" w:hAnsi="仿宋_GB2312" w:cs="仿宋_GB2312" w:eastAsia="仿宋_GB2312"/>
                <w:sz w:val="24"/>
              </w:rPr>
              <w:t>100分）</w:t>
            </w:r>
          </w:p>
          <w:p>
            <w:pPr>
              <w:pStyle w:val="null3"/>
              <w:ind w:firstLine="480"/>
              <w:jc w:val="both"/>
            </w:pPr>
            <w:r>
              <w:rPr>
                <w:rFonts w:ascii="仿宋_GB2312" w:hAnsi="仿宋_GB2312" w:cs="仿宋_GB2312" w:eastAsia="仿宋_GB2312"/>
                <w:sz w:val="24"/>
              </w:rPr>
              <w:t>1、是否向客户提供所在地维护工程师专项服务（20分）</w:t>
            </w:r>
          </w:p>
          <w:p>
            <w:pPr>
              <w:pStyle w:val="null3"/>
              <w:ind w:firstLine="480"/>
              <w:jc w:val="both"/>
            </w:pPr>
            <w:r>
              <w:rPr>
                <w:rFonts w:ascii="仿宋_GB2312" w:hAnsi="仿宋_GB2312" w:cs="仿宋_GB2312" w:eastAsia="仿宋_GB2312"/>
                <w:sz w:val="24"/>
              </w:rPr>
              <w:t>2、若出现故障是否在4小时内处理故障（不可抗力因素除外）（20分）</w:t>
            </w:r>
          </w:p>
          <w:p>
            <w:pPr>
              <w:pStyle w:val="null3"/>
              <w:ind w:firstLine="480"/>
              <w:jc w:val="both"/>
            </w:pPr>
            <w:r>
              <w:rPr>
                <w:rFonts w:ascii="仿宋_GB2312" w:hAnsi="仿宋_GB2312" w:cs="仿宋_GB2312" w:eastAsia="仿宋_GB2312"/>
                <w:sz w:val="24"/>
              </w:rPr>
              <w:t>3、按期提供提供故障处理报告（20分）</w:t>
            </w:r>
          </w:p>
          <w:p>
            <w:pPr>
              <w:pStyle w:val="null3"/>
              <w:ind w:firstLine="480"/>
              <w:jc w:val="both"/>
            </w:pPr>
            <w:r>
              <w:rPr>
                <w:rFonts w:ascii="仿宋_GB2312" w:hAnsi="仿宋_GB2312" w:cs="仿宋_GB2312" w:eastAsia="仿宋_GB2312"/>
                <w:sz w:val="24"/>
              </w:rPr>
              <w:t>4、提供网络运行分析报告，分析网络运行情况（20分）</w:t>
            </w:r>
          </w:p>
          <w:p>
            <w:pPr>
              <w:pStyle w:val="null3"/>
              <w:ind w:firstLine="480"/>
              <w:jc w:val="both"/>
            </w:pPr>
            <w:r>
              <w:rPr>
                <w:rFonts w:ascii="仿宋_GB2312" w:hAnsi="仿宋_GB2312" w:cs="仿宋_GB2312" w:eastAsia="仿宋_GB2312"/>
                <w:sz w:val="24"/>
              </w:rPr>
              <w:t>5、每年依照客户需求为客户提供一次联席会议服务（20分）</w:t>
            </w:r>
          </w:p>
          <w:p>
            <w:pPr>
              <w:pStyle w:val="null3"/>
              <w:jc w:val="both"/>
            </w:pPr>
            <w:r>
              <w:rPr>
                <w:rFonts w:ascii="仿宋_GB2312" w:hAnsi="仿宋_GB2312" w:cs="仿宋_GB2312" w:eastAsia="仿宋_GB2312"/>
                <w:sz w:val="24"/>
              </w:rPr>
              <w:t>备注：考核成绩在</w:t>
            </w:r>
            <w:r>
              <w:rPr>
                <w:rFonts w:ascii="仿宋_GB2312" w:hAnsi="仿宋_GB2312" w:cs="仿宋_GB2312" w:eastAsia="仿宋_GB2312"/>
                <w:sz w:val="24"/>
              </w:rPr>
              <w:t>90分及以上，支付当季结算金额的100%；考核成绩在80到89分之间，支付当季结算金额的85%；考核成绩在70到79分之间，支付当季结算金额的70%；考核成绩在60到69分之间，支付当季结算金额的50%；考核成绩在60分以下，当季结算金额全部扣除，并给予公开通报批评。</w:t>
            </w:r>
          </w:p>
          <w:p>
            <w:pPr>
              <w:pStyle w:val="null3"/>
              <w:jc w:val="both"/>
            </w:pPr>
            <w:r>
              <w:rPr>
                <w:rFonts w:ascii="仿宋_GB2312" w:hAnsi="仿宋_GB2312" w:cs="仿宋_GB2312" w:eastAsia="仿宋_GB2312"/>
                <w:sz w:val="24"/>
                <w:b/>
              </w:rPr>
              <w:t>六、其他要求</w:t>
            </w:r>
          </w:p>
          <w:p>
            <w:pPr>
              <w:pStyle w:val="null3"/>
              <w:ind w:firstLine="480"/>
              <w:jc w:val="both"/>
            </w:pPr>
            <w:r>
              <w:rPr>
                <w:rFonts w:ascii="仿宋_GB2312" w:hAnsi="仿宋_GB2312" w:cs="仿宋_GB2312" w:eastAsia="仿宋_GB2312"/>
                <w:sz w:val="24"/>
              </w:rPr>
              <w:t>（一）成果交付要求</w:t>
            </w:r>
          </w:p>
          <w:p>
            <w:pPr>
              <w:pStyle w:val="null3"/>
              <w:ind w:firstLine="480"/>
              <w:jc w:val="both"/>
            </w:pPr>
            <w:r>
              <w:rPr>
                <w:rFonts w:ascii="仿宋_GB2312" w:hAnsi="仿宋_GB2312" w:cs="仿宋_GB2312" w:eastAsia="仿宋_GB2312"/>
                <w:sz w:val="24"/>
              </w:rPr>
              <w:t xml:space="preserve"> 签订合同之日后，5个工作日内全面开通交付，并保障整系统的安全稳定运行。</w:t>
            </w:r>
          </w:p>
          <w:p>
            <w:pPr>
              <w:pStyle w:val="null3"/>
              <w:ind w:firstLine="480"/>
              <w:jc w:val="both"/>
            </w:pPr>
            <w:r>
              <w:rPr>
                <w:rFonts w:ascii="仿宋_GB2312" w:hAnsi="仿宋_GB2312" w:cs="仿宋_GB2312" w:eastAsia="仿宋_GB2312"/>
                <w:sz w:val="24"/>
              </w:rPr>
              <w:t>（二）质量验收标准或规范</w:t>
            </w:r>
          </w:p>
          <w:p>
            <w:pPr>
              <w:pStyle w:val="null3"/>
              <w:ind w:firstLine="480"/>
              <w:jc w:val="both"/>
            </w:pPr>
            <w:r>
              <w:rPr>
                <w:rFonts w:ascii="仿宋_GB2312" w:hAnsi="仿宋_GB2312" w:cs="仿宋_GB2312" w:eastAsia="仿宋_GB2312"/>
                <w:sz w:val="24"/>
              </w:rPr>
              <w:t>符合双方约定质量标准；</w:t>
            </w:r>
          </w:p>
          <w:p>
            <w:pPr>
              <w:pStyle w:val="null3"/>
              <w:ind w:firstLine="480"/>
              <w:jc w:val="both"/>
            </w:pPr>
            <w:r>
              <w:rPr>
                <w:rFonts w:ascii="仿宋_GB2312" w:hAnsi="仿宋_GB2312" w:cs="仿宋_GB2312" w:eastAsia="仿宋_GB2312"/>
                <w:sz w:val="24"/>
              </w:rPr>
              <w:t>（三）违约责任</w:t>
            </w:r>
          </w:p>
          <w:p>
            <w:pPr>
              <w:pStyle w:val="null3"/>
              <w:ind w:firstLine="480"/>
              <w:jc w:val="both"/>
            </w:pPr>
            <w:r>
              <w:rPr>
                <w:rFonts w:ascii="仿宋_GB2312" w:hAnsi="仿宋_GB2312" w:cs="仿宋_GB2312" w:eastAsia="仿宋_GB2312"/>
                <w:sz w:val="24"/>
              </w:rPr>
              <w:t>1、网络服务提供方违约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1）合同履行中发生下列情况之一的，属网络服务提供方违约：</w:t>
            </w:r>
          </w:p>
          <w:p>
            <w:pPr>
              <w:pStyle w:val="null3"/>
              <w:ind w:firstLine="480"/>
              <w:jc w:val="both"/>
            </w:pPr>
            <w:r>
              <w:rPr>
                <w:rFonts w:ascii="仿宋_GB2312" w:hAnsi="仿宋_GB2312" w:cs="仿宋_GB2312" w:eastAsia="仿宋_GB2312"/>
                <w:sz w:val="24"/>
              </w:rPr>
              <w:t>1）提供的网络服务不符合法律以及合同约定；</w:t>
            </w:r>
          </w:p>
          <w:p>
            <w:pPr>
              <w:pStyle w:val="null3"/>
              <w:ind w:firstLine="480"/>
              <w:jc w:val="both"/>
            </w:pPr>
            <w:r>
              <w:rPr>
                <w:rFonts w:ascii="仿宋_GB2312" w:hAnsi="仿宋_GB2312" w:cs="仿宋_GB2312" w:eastAsia="仿宋_GB2312"/>
                <w:sz w:val="24"/>
              </w:rPr>
              <w:t>2）网络服务提供方无法履行或停止履行合同；</w:t>
            </w:r>
          </w:p>
          <w:p>
            <w:pPr>
              <w:pStyle w:val="null3"/>
              <w:ind w:firstLine="480"/>
              <w:jc w:val="both"/>
            </w:pPr>
            <w:r>
              <w:rPr>
                <w:rFonts w:ascii="仿宋_GB2312" w:hAnsi="仿宋_GB2312" w:cs="仿宋_GB2312" w:eastAsia="仿宋_GB2312"/>
                <w:sz w:val="24"/>
              </w:rPr>
              <w:t>3）网络服务提供方不履行合同约定的其他义务。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网络服务提供方发生违约情况时，发包方可向网络服务提供方发出整改通知，要求其在限定期限内纠正；逾期仍不纠正的，发包方有权解除合同并向网络服务提供方发出解除合同通知。网络服务提供方应当承担由于违约所造成的费用增加、周期延误和发包方损失等。</w:t>
            </w:r>
          </w:p>
          <w:p>
            <w:pPr>
              <w:pStyle w:val="null3"/>
              <w:ind w:firstLine="480"/>
              <w:jc w:val="both"/>
            </w:pPr>
            <w:r>
              <w:rPr>
                <w:rFonts w:ascii="仿宋_GB2312" w:hAnsi="仿宋_GB2312" w:cs="仿宋_GB2312" w:eastAsia="仿宋_GB2312"/>
                <w:sz w:val="24"/>
              </w:rPr>
              <w:t>2、发包方违约</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1）合同履行中发生下列情况之一的，属发包方违约：</w:t>
            </w:r>
          </w:p>
          <w:p>
            <w:pPr>
              <w:pStyle w:val="null3"/>
              <w:ind w:firstLine="480"/>
              <w:jc w:val="both"/>
            </w:pPr>
            <w:r>
              <w:rPr>
                <w:rFonts w:ascii="仿宋_GB2312" w:hAnsi="仿宋_GB2312" w:cs="仿宋_GB2312" w:eastAsia="仿宋_GB2312"/>
                <w:sz w:val="24"/>
              </w:rPr>
              <w:t>1）发包方未按合同约定支付网络服务费用；</w:t>
            </w:r>
          </w:p>
          <w:p>
            <w:pPr>
              <w:pStyle w:val="null3"/>
              <w:ind w:firstLine="480"/>
              <w:jc w:val="both"/>
            </w:pPr>
            <w:r>
              <w:rPr>
                <w:rFonts w:ascii="仿宋_GB2312" w:hAnsi="仿宋_GB2312" w:cs="仿宋_GB2312" w:eastAsia="仿宋_GB2312"/>
                <w:sz w:val="24"/>
              </w:rPr>
              <w:t>2）发包方原因造成服务停止；</w:t>
            </w:r>
          </w:p>
          <w:p>
            <w:pPr>
              <w:pStyle w:val="null3"/>
              <w:ind w:firstLine="480"/>
              <w:jc w:val="both"/>
            </w:pPr>
            <w:r>
              <w:rPr>
                <w:rFonts w:ascii="仿宋_GB2312" w:hAnsi="仿宋_GB2312" w:cs="仿宋_GB2312" w:eastAsia="仿宋_GB2312"/>
                <w:sz w:val="24"/>
              </w:rPr>
              <w:t>3）发包方无法履行或停止履行合同；</w:t>
            </w:r>
          </w:p>
          <w:p>
            <w:pPr>
              <w:pStyle w:val="null3"/>
              <w:ind w:firstLine="480"/>
              <w:jc w:val="both"/>
            </w:pPr>
            <w:r>
              <w:rPr>
                <w:rFonts w:ascii="仿宋_GB2312" w:hAnsi="仿宋_GB2312" w:cs="仿宋_GB2312" w:eastAsia="仿宋_GB2312"/>
                <w:sz w:val="24"/>
              </w:rPr>
              <w:t>4）发包方不履行合同约定的其他义务。</w:t>
            </w:r>
          </w:p>
          <w:p>
            <w:pPr>
              <w:pStyle w:val="null3"/>
              <w:spacing w:before="105" w:after="105"/>
              <w:jc w:val="both"/>
            </w:pPr>
            <w:r>
              <w:rPr>
                <w:rFonts w:ascii="仿宋_GB2312" w:hAnsi="仿宋_GB2312" w:cs="仿宋_GB2312" w:eastAsia="仿宋_GB2312"/>
                <w:sz w:val="24"/>
              </w:rPr>
              <w:t xml:space="preserve">  （</w:t>
            </w:r>
            <w:r>
              <w:rPr>
                <w:rFonts w:ascii="仿宋_GB2312" w:hAnsi="仿宋_GB2312" w:cs="仿宋_GB2312" w:eastAsia="仿宋_GB2312"/>
                <w:sz w:val="24"/>
              </w:rPr>
              <w:t>2）发包方发生违约情况时，网络服务提供方可向发包方发出暂停提供服务通知，要求其在限定期限内纠正；逾期仍不纠正的，网络服务提供方有权解除合同并向发包方发出解除合同通知。发包方应当承担由于违约所造成的费用增加、周期延误和网络服务提供方损失等。</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符合双方约定质量标准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每季度后一周内按照考核结果</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每季度后一周内按照考核结果</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每季度后一周内按照考核结果</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每季度后一周内按照考核结果</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违约责任：1、网络服务提供方违约 （1）合同履行中发生下列情况之一的，属网络服务提供方违约： 1）提供的网络服务不符合法律以及合同约定； 2）网络服务提供方无法履行或停止履行合同； 3）网络服务提供方不履行合同约定的其他义务。 （2）网络服务提供方发生违约情况时，发包方可向网络服务提供方发出整改通知，要求其在限定期限内纠正；逾期仍不纠正的，发包方有权解除合同并向网络服务提供方发出解除合同通知。网络服务提供方应当承担由于违约所造成的费用增加、周期延误和发包方损失等。 2、发包方违约 （1）合同履行中发生下列情况之一的，属发包方违约： 1）发包方未按合同约定支付网络服务费用； 2）发包方原因造成服务停止； 3）发包方无法履行或停止履行合同； 4）发包方不履行合同约定的其他义务。 （2）发包方发生违约情况时，网络服务提供方可向发包方发出暂停提供服务通知，要求其在限定期限内纠正；逾期仍不纠正的，网络服务提供方有权解除合同并向发包方发出解除合同通知。发包方应当承担由于违约所造成的费用增加、周期延误和网络服务提供方损失等。 解决争议的办法：合同执行中发生争议的，当事人双方应协商解决，协商达不成一致时，可向采购人所在地人民法院提请诉讼。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成交供应商在领取本项目成交通知书时提供一正一副纸质竞争性磋商响应文件，采用书籍（胶装）方式装订成册，与电子响应文件保持一致，不允许修改和补充。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提供首次响应文件递交截止时间前6个月内任意时段的缴纳证明。依法不需要交纳社会保障资金的供应商应提供相关文件证明。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首次响应文件递交截止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法定代表人（或负责人）身份证明/法定代表人（或负责人）授权委托书</w:t>
            </w:r>
          </w:p>
        </w:tc>
        <w:tc>
          <w:tcPr>
            <w:tcW w:type="dxa" w:w="3322"/>
          </w:tcPr>
          <w:p>
            <w:pPr>
              <w:pStyle w:val="null3"/>
            </w:pPr>
            <w:r>
              <w:rPr>
                <w:rFonts w:ascii="仿宋_GB2312" w:hAnsi="仿宋_GB2312" w:cs="仿宋_GB2312" w:eastAsia="仿宋_GB2312"/>
              </w:rPr>
              <w:t>法定代表人（或负责人）身份证明/法定代表人（或负责人）授权委托书：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案件当事人”名单；不处于“中国政府采购网”记录的“政府采购严重违法失信行为记录名单 ”中的禁止参加政府采购活动期间。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供应商提供参与磋商的承诺函</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符合性证明文件.docx 报价表 响应函 服务方案.docx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标的清单 符合性证明文件.docx 报价表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符合性证明文件.docx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标的清单 符合性证明文件.docx 报价表 响应函 资格证明文件.docx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符合性证明文件.docx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没有不符合竞争性磋商文件及法律法规规定的被视为无效响应的其他条款，不能有采购人不能接受的附加条件</w:t>
            </w:r>
          </w:p>
        </w:tc>
        <w:tc>
          <w:tcPr>
            <w:tcW w:type="dxa" w:w="1661"/>
          </w:tcPr>
          <w:p>
            <w:pPr>
              <w:pStyle w:val="null3"/>
            </w:pPr>
            <w:r>
              <w:rPr>
                <w:rFonts w:ascii="仿宋_GB2312" w:hAnsi="仿宋_GB2312" w:cs="仿宋_GB2312" w:eastAsia="仿宋_GB2312"/>
              </w:rPr>
              <w:t>标的清单 符合性证明文件.docx 报价表 响应函 资格证明文件.docx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项目的背景与理解</w:t>
            </w:r>
          </w:p>
        </w:tc>
        <w:tc>
          <w:tcPr>
            <w:tcW w:type="dxa" w:w="2492"/>
          </w:tcPr>
          <w:p>
            <w:pPr>
              <w:pStyle w:val="null3"/>
            </w:pPr>
            <w:r>
              <w:rPr>
                <w:rFonts w:ascii="仿宋_GB2312" w:hAnsi="仿宋_GB2312" w:cs="仿宋_GB2312" w:eastAsia="仿宋_GB2312"/>
              </w:rPr>
              <w:t>对本项目要求理解程度和针对本项目的工作思路和方向进行评审。 分析理解准确、全面、透彻，对本项目工作的顺利开展有指导性意义，得6分； 分析理解较为准确、全面、透彻，对本项目开展有较强的指导意义，得5分； 分析理解相对准确但对本项目开展有相对较强的指导意义，得4分； 分析理解基本准确但对本项目开展有一定的指导意义，得3分； 分析理解不够准确，指导意义差，得2分； 分析理解偏离本项目需求，得1分。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网络线路维护方案</w:t>
            </w:r>
          </w:p>
        </w:tc>
        <w:tc>
          <w:tcPr>
            <w:tcW w:type="dxa" w:w="2492"/>
          </w:tcPr>
          <w:p>
            <w:pPr>
              <w:pStyle w:val="null3"/>
            </w:pPr>
            <w:r>
              <w:rPr>
                <w:rFonts w:ascii="仿宋_GB2312" w:hAnsi="仿宋_GB2312" w:cs="仿宋_GB2312" w:eastAsia="仿宋_GB2312"/>
              </w:rPr>
              <w:t>针对本项目要求制定网络线路维护方案。 方案完整、科学，可操作性强，得8分； 方案比较完整、科学，具备较强的可操作性，得7分； 方案相对完整，具备相对较强的可操作性，得6分； 方案基本完整，具备基本的可操作性，得5分； 方案简单笼统，可操作性不强，得4分； 方案、可操作性有欠缺，得3分； 方案有缺陷，可操作性差，得2分； 方案有重大缺陷，无可操作性，得1分；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网络线路建设方案</w:t>
            </w:r>
          </w:p>
        </w:tc>
        <w:tc>
          <w:tcPr>
            <w:tcW w:type="dxa" w:w="2492"/>
          </w:tcPr>
          <w:p>
            <w:pPr>
              <w:pStyle w:val="null3"/>
            </w:pPr>
            <w:r>
              <w:rPr>
                <w:rFonts w:ascii="仿宋_GB2312" w:hAnsi="仿宋_GB2312" w:cs="仿宋_GB2312" w:eastAsia="仿宋_GB2312"/>
              </w:rPr>
              <w:t>针对本项目要求制定网络线路建设方案。 方案完整、科学，可操作性强，得8分； 方案比较完整、科学，具备较强的可操作性，得7分； 方案相对完整，具备相对较强的可操作性，得6分； 方案基本完整，具备基本的可操作性，得5分； 方案简单笼统，可操作性不强，得4分； 方案、可操作性有欠缺，得3分； 方案有缺陷，可操作性差，得2分； 方案有重大缺陷，无可操作性，得1分；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供应商针对本项目采购内容有明确的调查进度安排。 具有科学合理明确的工作进度计划，工作进度计划与实际需求的契合度高，时间节点把控清晰明确，对工作推进指导性强，得8分； 具有科学合理工作进度计划，工作进度计划与实际需求的契合度相对较高，时间节点把控准确，对工作推进指导性强，得7分； 具有相对科学合理的工作进度计划，工作进度计划与实际需求的契合度相对合理，时间节点把控相对准确，对工作推进指导性较强，得6分； 工作进度计划比较符合实际需求，有相关时间节点的把控要求，对工作推进有一定的指导性，得5分； 工作进度计划基本符合实际需求，相关时间节点的把控要求基本准确，对工作推进相对有指导性，得4分； 工作进度计划不太符合实际需求，相关时间节点的把控要求不太准确，对工作推进指导性较差，得3分； 工作进度计划不符合实际需求，无法保证工作能够正常推进，得2分； 工作进度计划措施与项目实际需求不符，内容粗略得1分； 无内容不得分。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针对本项目有专项服务小组，人员配置齐全，岗位职责明确，且人员都具有相关专业及工作经验并提供完整证明材料（包括但不限于人员学历、工作经验证明等） 人员分工明确得当、职责划分均阐述全面详细，岗位配备齐全，证明材料齐全得8分； 人员分工相对明确得当、职责划分阐述全面，岗位配备相对齐全，证明材料相对齐全得7分； 人员分工较明确、职责划分均阐述较完整，岗位配备、职责划分较为合理，得6分； 人员分工基本明确、职责划分均阐述完整，岗位配备、职责划分基本合理，得5分； 人员分工基本明确、职责划分均阐述简短，岗位配备、职责划分不够合理，得4分； 人员分工不够明确、职责划分阐述简短，岗位配备不合理，得3分； 人员分工不够明确、无职责划分，岗位配备不合理，得2分； 人员分工不明确、内容笼统，得1分； 无内容不得分。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结合本项目实际情况，制定可行、完善的服务承诺。 承诺详细、具体，可行性强，得6分； 承诺较为详细，可行性较强，得5分； 承诺基本详细，有一定可行性，得4分； 承诺基本详细，有可行性，得3分； 承诺较简单，可行性较差，得2分； 承诺有缺漏，无可行性，得1分；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结合本项目实际情况，有详细完整的服务质量保证措施。 措施全面、具体、可行、科学合理，得8分； 措施比较全面、具体、可行、科学合理，得7分； 措施相对全面、具体、合理，得6分； 措施基本全面、具体、合理，得5分； 措施简单，有一定的合理性得4分； 措施较为笼统，合理性差，得3分； 措施存在较多缺漏，合理性较差，得2分； 措施存在严重缺漏，不具备合理性，得1分； 无内容不得分。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内控制度</w:t>
            </w:r>
          </w:p>
        </w:tc>
        <w:tc>
          <w:tcPr>
            <w:tcW w:type="dxa" w:w="2492"/>
          </w:tcPr>
          <w:p>
            <w:pPr>
              <w:pStyle w:val="null3"/>
            </w:pPr>
            <w:r>
              <w:rPr>
                <w:rFonts w:ascii="仿宋_GB2312" w:hAnsi="仿宋_GB2312" w:cs="仿宋_GB2312" w:eastAsia="仿宋_GB2312"/>
              </w:rPr>
              <w:t>针对本项目制定的内控制度，包括但不限于①企业管理规章制度、②人员组织架构、③档案管理、④劳动保障相关制度等。 以上内容每一项均有详细且针对性的说明得8分。 每缺一项内容的描述扣2分； 以上内容仅有描述但不够完善的，每有一项扣1分； 无内容不得分。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供应商针对本项目提供应急预案，包括但不限于①应急事件处理；②特殊时段保障预案；③应急响应时间等内容。 本项共 9分。 每个单项内容详细完整、思路明晰合理、针对性强，得 3 分； 每个单项内容基本完整、思路基本合理、有一定针对性，得 2 分； 每个单项内容不完整、思路模糊、针对性差得 1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风险防控措施</w:t>
            </w:r>
          </w:p>
        </w:tc>
        <w:tc>
          <w:tcPr>
            <w:tcW w:type="dxa" w:w="2492"/>
          </w:tcPr>
          <w:p>
            <w:pPr>
              <w:pStyle w:val="null3"/>
            </w:pPr>
            <w:r>
              <w:rPr>
                <w:rFonts w:ascii="仿宋_GB2312" w:hAnsi="仿宋_GB2312" w:cs="仿宋_GB2312" w:eastAsia="仿宋_GB2312"/>
              </w:rPr>
              <w:t>具有工作风险防控措施，且得当可行。 措施全面、合理、规范，可操作性强的，得5分； 措施比较全面、合理、规范，可操作性较强的，得4分； 措施基本全面、合理、规范，有一定的可操作性，得3分； 措施简单，笼统，可操作性有欠缺，得2分； 措施有缺漏，可操作性差，得1分； 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保密管理方案</w:t>
            </w:r>
          </w:p>
        </w:tc>
        <w:tc>
          <w:tcPr>
            <w:tcW w:type="dxa" w:w="2492"/>
          </w:tcPr>
          <w:p>
            <w:pPr>
              <w:pStyle w:val="null3"/>
            </w:pPr>
            <w:r>
              <w:rPr>
                <w:rFonts w:ascii="仿宋_GB2312" w:hAnsi="仿宋_GB2312" w:cs="仿宋_GB2312" w:eastAsia="仿宋_GB2312"/>
              </w:rPr>
              <w:t>针对本项目提供保密管理方案，包括但不限于①保密措施细则、②保密人员守则等。 以上内容每一项均有详细且针对性的说明得6分。 每个单项方案内容完整、思路明晰合理、科学、实用、针对性强得3分； 每个单项方案内容基本完整、思路基本明晰合理、科学、实用、针对性基本合理得2分； 每个单项方案内容不够完整、思路不够明晰合理、针对性相对差弱得1分；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提供供应商2022年1月至今类似业绩合同（以合同签订时间为准），每提供一份得2分，最高得10分，未提供不得分。 评审标准：提供完整合同扫描件加盖供应商公章。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、满足竞争性磋商文件要求且评审报价最低的报价为评标基准价，其价格分为满分。其他供应商的价格分统一按照下列公式计算：磋商报价得分=（评标基准价/磋商报价) ×价格权值。2、报价不完整的,不进入评标基准价的计算，本项 得0分。3、符合竞争性磋商文件规 定的小微企业、监狱企业、残疾人 福利企业优惠条件的供应商，价格 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符合竞争性磋商文件规 定的小微企业、监狱企业、残疾人 福利企业优惠条件的供应商，价格 给予10%的扣除，用扣除后的价格参与评审。</w:t>
            </w:r>
          </w:p>
        </w:tc>
        <w:tc>
          <w:tcPr>
            <w:tcW w:type="dxa" w:w="1661"/>
          </w:tcPr>
          <w:p>
            <w:pPr>
              <w:pStyle w:val="null3"/>
            </w:pPr>
            <w:r>
              <w:rPr>
                <w:rFonts w:ascii="仿宋_GB2312" w:hAnsi="仿宋_GB2312" w:cs="仿宋_GB2312" w:eastAsia="仿宋_GB2312"/>
              </w:rPr>
              <w:t>标的清单 符合性证明文件.docx 报价表 资格证明文件.docx 服务方案.docx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详见附件：符合性证明文件.docx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