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2341C">
      <w:pPr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eastAsia="zh-CN"/>
        </w:rPr>
        <w:t>第四章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eastAsia="zh-CN"/>
        </w:rPr>
        <w:t>合同条款及格式</w:t>
      </w:r>
    </w:p>
    <w:p w14:paraId="0CD94FD8">
      <w:pPr>
        <w:pStyle w:val="2"/>
        <w:rPr>
          <w:rFonts w:hint="eastAsia" w:ascii="仿宋" w:hAnsi="仿宋" w:eastAsia="仿宋" w:cs="仿宋"/>
          <w:color w:val="000000"/>
          <w:lang w:eastAsia="zh-CN"/>
        </w:rPr>
      </w:pPr>
    </w:p>
    <w:p w14:paraId="1688469D">
      <w:pPr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 xml:space="preserve">采购人（全称）：                         </w:t>
      </w:r>
    </w:p>
    <w:p w14:paraId="0B677229">
      <w:pPr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 xml:space="preserve">供应商（全称）：         </w:t>
      </w:r>
    </w:p>
    <w:p w14:paraId="602FBEC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根据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eastAsia="zh-CN"/>
        </w:rPr>
        <w:t>鄠邑区电子政务网络延伸服务项目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的采购结果，按照《中华人民共和国民法典》及其他有关法律、法规，遵循平等、自愿、公平和诚信的原则，双方就下述项目范围与相关服务事项协商一致，订立本合同。</w:t>
      </w:r>
    </w:p>
    <w:p w14:paraId="345E9444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一、项目概况</w:t>
      </w:r>
    </w:p>
    <w:p w14:paraId="2764BECB">
      <w:pPr>
        <w:adjustRightInd w:val="0"/>
        <w:snapToGrid w:val="0"/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u w:val="single"/>
          <w:lang w:val="en-US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1、项目名称：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>鄠邑区电子政务网络延伸服务项目</w:t>
      </w:r>
    </w:p>
    <w:p w14:paraId="31F71413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2、项目地点：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西安市鄠邑区中心机房至延伸至全区各党政机关及街道办事处 </w:t>
      </w:r>
    </w:p>
    <w:p w14:paraId="70969212">
      <w:pPr>
        <w:spacing w:line="360" w:lineRule="auto"/>
        <w:ind w:firstLine="562" w:firstLineChars="200"/>
        <w:rPr>
          <w:rFonts w:hint="default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二、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合同标的物内容及数量</w:t>
      </w:r>
    </w:p>
    <w:tbl>
      <w:tblPr>
        <w:tblStyle w:val="7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19"/>
        <w:gridCol w:w="1419"/>
        <w:gridCol w:w="1421"/>
        <w:gridCol w:w="1420"/>
        <w:gridCol w:w="1420"/>
      </w:tblGrid>
      <w:tr w14:paraId="5F432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pct"/>
            <w:noWrap w:val="0"/>
            <w:vAlign w:val="top"/>
          </w:tcPr>
          <w:p w14:paraId="5A62EF3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833" w:type="pct"/>
            <w:noWrap w:val="0"/>
            <w:vAlign w:val="top"/>
          </w:tcPr>
          <w:p w14:paraId="5A8D2EEC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品目名称</w:t>
            </w:r>
          </w:p>
        </w:tc>
        <w:tc>
          <w:tcPr>
            <w:tcW w:w="833" w:type="pct"/>
            <w:noWrap w:val="0"/>
            <w:vAlign w:val="top"/>
          </w:tcPr>
          <w:p w14:paraId="6FF50739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834" w:type="pct"/>
            <w:noWrap w:val="0"/>
            <w:vAlign w:val="top"/>
          </w:tcPr>
          <w:p w14:paraId="6AD9C96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833" w:type="pct"/>
            <w:noWrap w:val="0"/>
            <w:vAlign w:val="top"/>
          </w:tcPr>
          <w:p w14:paraId="55BA538F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833" w:type="pct"/>
            <w:noWrap w:val="0"/>
            <w:vAlign w:val="top"/>
          </w:tcPr>
          <w:p w14:paraId="2E778798">
            <w:pPr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总价</w:t>
            </w:r>
          </w:p>
        </w:tc>
      </w:tr>
      <w:tr w14:paraId="4311B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pct"/>
            <w:noWrap w:val="0"/>
            <w:vAlign w:val="center"/>
          </w:tcPr>
          <w:p w14:paraId="7FA2CE4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33" w:type="pct"/>
            <w:noWrap w:val="0"/>
            <w:vAlign w:val="top"/>
          </w:tcPr>
          <w:p w14:paraId="7BA7F24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3" w:type="pct"/>
            <w:noWrap w:val="0"/>
            <w:vAlign w:val="top"/>
          </w:tcPr>
          <w:p w14:paraId="6618CFF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4" w:type="pct"/>
            <w:noWrap w:val="0"/>
            <w:vAlign w:val="top"/>
          </w:tcPr>
          <w:p w14:paraId="7C6175C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3" w:type="pct"/>
            <w:noWrap w:val="0"/>
            <w:vAlign w:val="top"/>
          </w:tcPr>
          <w:p w14:paraId="379F8D9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3" w:type="pct"/>
            <w:noWrap w:val="0"/>
            <w:vAlign w:val="top"/>
          </w:tcPr>
          <w:p w14:paraId="5648010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15979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pct"/>
            <w:noWrap w:val="0"/>
            <w:vAlign w:val="top"/>
          </w:tcPr>
          <w:p w14:paraId="765B301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3" w:type="pct"/>
            <w:noWrap w:val="0"/>
            <w:vAlign w:val="top"/>
          </w:tcPr>
          <w:p w14:paraId="6CD87AA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3" w:type="pct"/>
            <w:noWrap w:val="0"/>
            <w:vAlign w:val="top"/>
          </w:tcPr>
          <w:p w14:paraId="129CF18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4" w:type="pct"/>
            <w:noWrap w:val="0"/>
            <w:vAlign w:val="top"/>
          </w:tcPr>
          <w:p w14:paraId="73B53E2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3" w:type="pct"/>
            <w:noWrap w:val="0"/>
            <w:vAlign w:val="top"/>
          </w:tcPr>
          <w:p w14:paraId="40BCE32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3" w:type="pct"/>
            <w:noWrap w:val="0"/>
            <w:vAlign w:val="top"/>
          </w:tcPr>
          <w:p w14:paraId="36159FB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47CFF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pct"/>
            <w:noWrap w:val="0"/>
            <w:vAlign w:val="top"/>
          </w:tcPr>
          <w:p w14:paraId="45E6FFE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3" w:type="pct"/>
            <w:noWrap w:val="0"/>
            <w:vAlign w:val="top"/>
          </w:tcPr>
          <w:p w14:paraId="0899E23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3" w:type="pct"/>
            <w:noWrap w:val="0"/>
            <w:vAlign w:val="top"/>
          </w:tcPr>
          <w:p w14:paraId="05C98A7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4" w:type="pct"/>
            <w:noWrap w:val="0"/>
            <w:vAlign w:val="top"/>
          </w:tcPr>
          <w:p w14:paraId="107BAC0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3" w:type="pct"/>
            <w:noWrap w:val="0"/>
            <w:vAlign w:val="top"/>
          </w:tcPr>
          <w:p w14:paraId="51E312F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3" w:type="pct"/>
            <w:noWrap w:val="0"/>
            <w:vAlign w:val="top"/>
          </w:tcPr>
          <w:p w14:paraId="7B33B13C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2E309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2" w:type="pct"/>
            <w:gridSpan w:val="4"/>
            <w:noWrap w:val="0"/>
            <w:vAlign w:val="top"/>
          </w:tcPr>
          <w:p w14:paraId="0DEE2ED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合计：</w:t>
            </w:r>
          </w:p>
        </w:tc>
        <w:tc>
          <w:tcPr>
            <w:tcW w:w="833" w:type="pct"/>
            <w:noWrap w:val="0"/>
            <w:vAlign w:val="top"/>
          </w:tcPr>
          <w:p w14:paraId="603224A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833" w:type="pct"/>
            <w:noWrap w:val="0"/>
            <w:vAlign w:val="top"/>
          </w:tcPr>
          <w:p w14:paraId="24F9822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</w:rPr>
            </w:pPr>
          </w:p>
        </w:tc>
      </w:tr>
    </w:tbl>
    <w:p w14:paraId="555323D9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三、合同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价款</w:t>
      </w:r>
    </w:p>
    <w:p w14:paraId="3E39286F">
      <w:pPr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（一）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合同总价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（大写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小写：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¥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）；</w:t>
      </w:r>
    </w:p>
    <w:p w14:paraId="339A57AF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）合同价款包括但不限于产品供应费、运输费含保险费系统对接费、检测验收费、安装调试费、培训费、维保费、管理费税金及其它相关的费用。</w:t>
      </w:r>
    </w:p>
    <w:p w14:paraId="154008B4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）合同总价即中标价，合同总价一次包死，不受市场价变化或实际工作量变化的影响。合同价格为含税价，供应商提供产品发生的一切税（包括增值税）费等都已包含于合同价款中。</w:t>
      </w:r>
    </w:p>
    <w:p w14:paraId="50E8E417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  <w:t>、款项结算</w:t>
      </w:r>
    </w:p>
    <w:p w14:paraId="15B3DE25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）合同签订后，达到付款条件起45日内，支付合同总金额的60.00%。</w:t>
      </w:r>
    </w:p>
    <w:p w14:paraId="2A72283B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）成果交付验收达标后，于当年第四季度内，达到付款条件起30日内，支付合同总金额的40.00%。</w:t>
      </w:r>
    </w:p>
    <w:p w14:paraId="4E0F3D67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）续签的第二年和第三年服务在当年四季度内支付全年费用。</w:t>
      </w:r>
      <w:bookmarkStart w:id="0" w:name="_GoBack"/>
      <w:bookmarkEnd w:id="0"/>
    </w:p>
    <w:p w14:paraId="433AB0DB">
      <w:pPr>
        <w:spacing w:line="360" w:lineRule="auto"/>
        <w:ind w:firstLine="562" w:firstLineChars="200"/>
        <w:rPr>
          <w:rFonts w:hint="default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工作人员安排</w:t>
      </w:r>
    </w:p>
    <w:p w14:paraId="37B6E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(一)为保证工作成果的质量，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应按照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要求向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提供参加项目工作相关人员信息。</w:t>
      </w:r>
    </w:p>
    <w:p w14:paraId="5E1A0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(二)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在本项目的技术人员应当具备法律规定、行业规定的相关资质并对其工作期间的行为负责。若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工作人员在工作中因故意或重大过失给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造成损失的，由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承担全部法律责任。</w:t>
      </w:r>
    </w:p>
    <w:p w14:paraId="73BB5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(三)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与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技术人员或其他派驻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的工作人员不具有任何劳动关系或劳务关系。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应当妥善处理与其工作人员间的关系，如在服务过程中出现劳动关系、工伤等纠纷的由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负责处理承担全部责任，给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造成损失的应当赔偿。</w:t>
      </w:r>
    </w:p>
    <w:p w14:paraId="7121A25E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六、双方的权利和义务</w:t>
      </w:r>
    </w:p>
    <w:p w14:paraId="5AEB1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(一)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的权利与义务</w:t>
      </w:r>
    </w:p>
    <w:p w14:paraId="2FB37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1、积极配合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安装、调试、验收工作。</w:t>
      </w:r>
    </w:p>
    <w:p w14:paraId="4965D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、对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提供硬件设备、系统、产品等拥有资产所有权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</w:p>
    <w:p w14:paraId="3CC7D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的权利与义务</w:t>
      </w:r>
    </w:p>
    <w:p w14:paraId="14CF5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、按照合同约定开具合法有效的发票，要求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及时付款。</w:t>
      </w:r>
    </w:p>
    <w:p w14:paraId="08341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不得未经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书面同意将合同义务部分或者全部转包或分包给第三方，否则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有权解除合同并要求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支付违约金。</w:t>
      </w:r>
    </w:p>
    <w:p w14:paraId="6596C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、服务过程中，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有权根据国家相关规范及本合同标准通知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调整服务质量，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应当按照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的通知提供相应服务。</w:t>
      </w:r>
    </w:p>
    <w:p w14:paraId="65E826BA">
      <w:pPr>
        <w:pStyle w:val="3"/>
        <w:rPr>
          <w:rFonts w:hint="eastAsia"/>
          <w:lang w:eastAsia="zh-CN"/>
        </w:rPr>
      </w:pPr>
    </w:p>
    <w:p w14:paraId="11A1628B">
      <w:pPr>
        <w:adjustRightInd w:val="0"/>
        <w:snapToGrid w:val="0"/>
        <w:spacing w:line="360" w:lineRule="auto"/>
        <w:ind w:firstLine="562" w:firstLineChars="200"/>
        <w:rPr>
          <w:rFonts w:hint="default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、交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付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地点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、交付期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及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  <w:t>服务期</w:t>
      </w:r>
    </w:p>
    <w:p w14:paraId="56A08671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1、交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付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地点：采购人指定地点</w:t>
      </w:r>
    </w:p>
    <w:p w14:paraId="1917C2F6">
      <w:pPr>
        <w:adjustRightInd w:val="0"/>
        <w:snapToGrid w:val="0"/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2、交付期：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</w:p>
    <w:p w14:paraId="46524F1A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服务期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自合同签订之日起一年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。</w:t>
      </w:r>
    </w:p>
    <w:p w14:paraId="37D2096E">
      <w:pPr>
        <w:tabs>
          <w:tab w:val="left" w:pos="840"/>
        </w:tabs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运输、安装、调试要求</w:t>
      </w:r>
    </w:p>
    <w:p w14:paraId="3789CF1F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1、供应商根据产品特性，自行选择运输及包装方式，承担一切运输费用，包括从生产厂到采购人指定交货地点所需的装卸、运输（含保险费）及其他一切费用。</w:t>
      </w:r>
    </w:p>
    <w:p w14:paraId="3F1C2871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2、由供应商负责派技术人员到现场进行安装、调试至验收合格。供应商应在合同签订后一周内，向采购人提供安装、调试及试运行的进度计划表。</w:t>
      </w:r>
    </w:p>
    <w:p w14:paraId="1433489A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3、供应商应在合同规定的安装调试期内完成该项工作,如因供应商责任而造成延期，每超过一天按合同总价款的（1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%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）支付采购人误期赔偿金，直至交货或提供服务结束为止，所有因延期而产生的费用由供应商承担。</w:t>
      </w:r>
    </w:p>
    <w:p w14:paraId="6824F2C1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4、安装和调试期间所发生的费用均由供应商负责。</w:t>
      </w:r>
    </w:p>
    <w:p w14:paraId="72ED5ED5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5、供应商应对安装调试、整改等实施过程的安全负责，如发生人身伤亡、财产损失的由供应商负责解决并承担全部责任。</w:t>
      </w:r>
    </w:p>
    <w:p w14:paraId="2BAAB02A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、技术支持</w:t>
      </w:r>
    </w:p>
    <w:p w14:paraId="344459E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提供全年7×24小时的技术咨询服务,供应商怠于或无法提供技术支持的，采购人有权委托第三方处理，由此产生的费用和后果由供应商负责。供应商指定的项目总协调人必须是供应商公司管理层人员。项目建设过程中一旦出现重大问题，项目总协调人应能及时赶到现场。供应商更换项目负责人和主要技术人员，须将变更人及其工作影响、替换人资历等情况以书面材料报告项目采购人审核，经同意后方可更换。因供应商的人员变更原因所造成的任何项目质量、进度滞后的后果，由供应商承担。</w:t>
      </w:r>
    </w:p>
    <w:p w14:paraId="30B2BCD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供应商在项目实施过程中，质量保障人员、资源不足或者执行不力，给项目质量带来的风险超出采购人认定的允许范围时，采购人可终止本项目的合作并进行索赔。</w:t>
      </w:r>
    </w:p>
    <w:p w14:paraId="46DBA9A7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十、技术培训</w:t>
      </w:r>
    </w:p>
    <w:p w14:paraId="685C4FCA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应包括产品使用操作、保养、维修等培训内容。供应商需按采购人要求的时间为采购人免费培训技术人员若干名，培训服务以受培训人员熟练掌握相应技能为原则。在产品投入使用初期进行必要的跟踪指导，保障产品的稳定运行。供应的产品需在培训基地培训的，供应商应按要求履行，培训产生的交通费、食宿费、培训费等均由供应商承担。</w:t>
      </w:r>
    </w:p>
    <w:p w14:paraId="741F75FD">
      <w:pPr>
        <w:pStyle w:val="4"/>
        <w:numPr>
          <w:ilvl w:val="0"/>
          <w:numId w:val="1"/>
        </w:num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验收</w:t>
      </w:r>
    </w:p>
    <w:p w14:paraId="05414AC8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1、成果交付要求</w:t>
      </w:r>
    </w:p>
    <w:p w14:paraId="2AA08A1C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每季度进行服务质量考核，考核指标包括网络畅通率、设备完好率、运维响应、故障处置、接入单位反馈等，考核分数大于95分的，支付全部服务费用；小于95分大于等于65分的，结算当年70%服务费用（即按比例扣除30%）；低于65分的扣除当年全部服务费用。</w:t>
      </w:r>
    </w:p>
    <w:p w14:paraId="39015C3B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2、质量验收标准或规范</w:t>
      </w:r>
    </w:p>
    <w:p w14:paraId="2ACF8CA7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标包一：</w:t>
      </w:r>
    </w:p>
    <w:p w14:paraId="79C3DB77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根据每季度中标方传输网络巡检保障服务、网络接入技术支持服务、互联网接入服务等巡检报告进行抽检。</w:t>
      </w:r>
    </w:p>
    <w:p w14:paraId="63A403B0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标包二：</w:t>
      </w:r>
    </w:p>
    <w:p w14:paraId="12C6EC82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根据每季度中标方传输网络巡检保障服务、传输设备维保服务、网络接入技术支持服务、数据备份服务、上网行为审计服务等巡检报告进行抽检。</w:t>
      </w:r>
    </w:p>
    <w:p w14:paraId="7A1E2436">
      <w:pPr>
        <w:pStyle w:val="4"/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十二、售后服务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（提供售后服务承诺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函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）</w:t>
      </w:r>
    </w:p>
    <w:p w14:paraId="4ED9A5A7">
      <w:pPr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           </w:t>
      </w:r>
    </w:p>
    <w:p w14:paraId="0E023C97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、保密</w:t>
      </w:r>
    </w:p>
    <w:p w14:paraId="23A247E9">
      <w:pPr>
        <w:tabs>
          <w:tab w:val="left" w:pos="108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须严格保密，对工作中了解到的采购人的技术、机密等进行保密，不得向他人泄漏。本合同的解除或终止不免除供应商应承担的保密义务。</w:t>
      </w:r>
    </w:p>
    <w:p w14:paraId="1DE35D12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知识产权</w:t>
      </w:r>
    </w:p>
    <w:p w14:paraId="259CF028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应保证在本项目中使用的任何技术、产品和服务（包括部分使用），不会产生因第三方提出侵犯其专利权、商标权或其它知识产权而引起的法律和经济纠纷，如存在前述情形，由供应商承担所有相关责任。采购人享有本项目实施过程中产生的知识成果及知识产权。</w:t>
      </w:r>
    </w:p>
    <w:p w14:paraId="4A8BC6BE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</w:t>
      </w:r>
    </w:p>
    <w:p w14:paraId="65AF3F6A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如采用供应商所不拥有的知识产权，则在报价中必须包括合法使用该知识产权的相关费用。</w:t>
      </w:r>
    </w:p>
    <w:p w14:paraId="6407800E">
      <w:pPr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、合同争议的解决：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合同执行中发生争议的，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当事人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双方应本着友好协商的原则解决争议，若协商不成，应向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西安仲裁委员会提请仲裁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06C3919D">
      <w:pPr>
        <w:pStyle w:val="10"/>
        <w:spacing w:line="360" w:lineRule="auto"/>
        <w:ind w:firstLine="562" w:firstLineChars="200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十六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、违约责任：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任何一方在收到对方的具体说明违约情况的书面通知后，如确认违约行为实际存在，则应在二十天内对违约行为予以纠正并书面通知对方，如认为违约行为不存在，则应在二十天内向对方提出书面异议或说明。在此情况下，甲乙双方可就此问题进行协商，协商不成的按本合同争议条款解决。</w:t>
      </w:r>
    </w:p>
    <w:p w14:paraId="0D83700F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十七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、合同订立</w:t>
      </w:r>
    </w:p>
    <w:p w14:paraId="4CCA9B3D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1. 订立时间：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日。</w:t>
      </w:r>
    </w:p>
    <w:p w14:paraId="6ECC9DFE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 订立地点：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2CA69C56">
      <w:pPr>
        <w:tabs>
          <w:tab w:val="left" w:pos="980"/>
        </w:tabs>
        <w:kinsoku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3. 本合同一式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份，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执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份，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执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份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各方签字盖章后生效，合同执行完毕自动失效。</w:t>
      </w:r>
    </w:p>
    <w:p w14:paraId="50468429">
      <w:pPr>
        <w:pStyle w:val="3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1961FA9E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2B850903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采购人：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（盖章）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 供应商：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（盖章）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</w:p>
    <w:p w14:paraId="07E17231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地址：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地址： </w:t>
      </w:r>
    </w:p>
    <w:p w14:paraId="15FFB4F5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邮政编码：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邮政编码：</w:t>
      </w:r>
    </w:p>
    <w:p w14:paraId="1CF2109F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法定代表人或其授权                法定代表人或其授权</w:t>
      </w:r>
    </w:p>
    <w:p w14:paraId="1781FF33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的代理人：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（签字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>或盖章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）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的代理人：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（签字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>或盖章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）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</w:p>
    <w:p w14:paraId="2745EC99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开户银行：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开户银行：</w:t>
      </w:r>
    </w:p>
    <w:p w14:paraId="118DF1A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账号：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账号：</w:t>
      </w:r>
    </w:p>
    <w:p w14:paraId="1541FF7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电话：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电话：</w:t>
      </w:r>
    </w:p>
    <w:p w14:paraId="690EB48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传真：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传真：</w:t>
      </w:r>
    </w:p>
    <w:p w14:paraId="71C322DE">
      <w:pPr>
        <w:adjustRightInd w:val="0"/>
        <w:snapToGrid w:val="0"/>
        <w:spacing w:line="360" w:lineRule="auto"/>
        <w:ind w:firstLine="560" w:firstLineChars="200"/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电子邮箱：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电子邮箱：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EBD85A"/>
    <w:multiLevelType w:val="singleLevel"/>
    <w:tmpl w:val="96EBD85A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74442"/>
    <w:rsid w:val="02774442"/>
    <w:rsid w:val="0BC46E8D"/>
    <w:rsid w:val="0CD21ED4"/>
    <w:rsid w:val="0E7C47EE"/>
    <w:rsid w:val="13370CE3"/>
    <w:rsid w:val="13A24CF6"/>
    <w:rsid w:val="15453B8B"/>
    <w:rsid w:val="155D7127"/>
    <w:rsid w:val="19744A3F"/>
    <w:rsid w:val="1F775E87"/>
    <w:rsid w:val="22237002"/>
    <w:rsid w:val="25CC175F"/>
    <w:rsid w:val="29D11A3A"/>
    <w:rsid w:val="2A7337BE"/>
    <w:rsid w:val="2C31056E"/>
    <w:rsid w:val="2DB96A6D"/>
    <w:rsid w:val="2F6C4774"/>
    <w:rsid w:val="308C6EA2"/>
    <w:rsid w:val="325D3E6B"/>
    <w:rsid w:val="33FB393B"/>
    <w:rsid w:val="342F0BF2"/>
    <w:rsid w:val="37C14E9C"/>
    <w:rsid w:val="3F446ADE"/>
    <w:rsid w:val="3FEE09C7"/>
    <w:rsid w:val="461D1E37"/>
    <w:rsid w:val="51936155"/>
    <w:rsid w:val="525F7333"/>
    <w:rsid w:val="600A4D82"/>
    <w:rsid w:val="6B7739CC"/>
    <w:rsid w:val="6F7C10CD"/>
    <w:rsid w:val="74651327"/>
    <w:rsid w:val="74AB5120"/>
    <w:rsid w:val="759233F8"/>
    <w:rsid w:val="78CE2999"/>
    <w:rsid w:val="7D01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Calibri" w:hAnsi="Calibri" w:cs="Times New Roman"/>
      <w:szCs w:val="21"/>
    </w:rPr>
  </w:style>
  <w:style w:type="paragraph" w:styleId="3">
    <w:name w:val="Body Text"/>
    <w:basedOn w:val="1"/>
    <w:qFormat/>
    <w:uiPriority w:val="0"/>
    <w:pPr>
      <w:jc w:val="center"/>
    </w:pPr>
    <w:rPr>
      <w:szCs w:val="20"/>
    </w:rPr>
  </w:style>
  <w:style w:type="paragraph" w:styleId="4">
    <w:name w:val="Plain Text"/>
    <w:basedOn w:val="1"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customStyle="1" w:styleId="10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2750</Words>
  <Characters>2775</Characters>
  <Lines>0</Lines>
  <Paragraphs>0</Paragraphs>
  <TotalTime>2</TotalTime>
  <ScaleCrop>false</ScaleCrop>
  <LinksUpToDate>false</LinksUpToDate>
  <CharactersWithSpaces>3159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2025-04-28T02:07:00Z</dcterms:created>
  <dc:creator>高翠翠</dc:creator>
  <cp:lastModifiedBy>Z</cp:lastModifiedBy>
  <dcterms:modified xsi:type="dcterms:W3CDTF">2025-06-03T03:30:55Z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245BD0E7B8FD464499700FC2905AB3AE_13</vt:lpwstr>
  </property>
  <property fmtid="{D5CDD505-2E9C-101B-9397-08002B2CF9AE}" pid="4" name="KSOTemplateDocerSaveRecord">
    <vt:lpwstr>eyJoZGlkIjoiNjVlYjU4NWZhN2ZkMTRjYTk1OGNlMzcxODJmYjQ2M2IifQ==</vt:lpwstr>
  </property>
</Properties>
</file>