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版本号：JZZB-【2025】-11（二次）20250617001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鄠邑区电子政务网络延伸服务项目(二次)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JZZB-【2025】-11（二次）</w:t>
      </w:r>
      <w:r>
        <w:br/>
      </w:r>
      <w:r>
        <w:br/>
      </w:r>
      <w:r>
        <w:br/>
      </w:r>
    </w:p>
    <w:p>
      <w:pPr>
        <w:pStyle w:val="null3"/>
        <w:jc w:val="center"/>
        <w:outlineLvl w:val="2"/>
      </w:pPr>
      <w:r>
        <w:rPr>
          <w:rFonts w:ascii="仿宋_GB2312" w:hAnsi="仿宋_GB2312" w:cs="仿宋_GB2312" w:eastAsia="仿宋_GB2312"/>
          <w:sz w:val="28"/>
          <w:b/>
        </w:rPr>
        <w:t>西安市鄠邑区数据和行政审批服务局</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西安市鄠邑区数据和行政审批服务局</w:t>
      </w:r>
      <w:r>
        <w:rPr>
          <w:rFonts w:ascii="仿宋_GB2312" w:hAnsi="仿宋_GB2312" w:cs="仿宋_GB2312" w:eastAsia="仿宋_GB2312"/>
        </w:rPr>
        <w:t>委托，拟对</w:t>
      </w:r>
      <w:r>
        <w:rPr>
          <w:rFonts w:ascii="仿宋_GB2312" w:hAnsi="仿宋_GB2312" w:cs="仿宋_GB2312" w:eastAsia="仿宋_GB2312"/>
        </w:rPr>
        <w:t>鄠邑区电子政务网络延伸服务项目(二次)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JZZB-【2025】-11（二次）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鄠邑区电子政务网络延伸服务项目(二次)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服务主要实现鄠邑区电子政务网络安全防护能力提升、统一安全运维，为鄠邑区电子政务网络稳定运行夯实基础。本项目分为两个标包实施采购，标包一采购内容为58条外网及1条500M出口互联网专线；标包二采购内容为52条内网及设备维保及人员驻场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备独立承担民事责任的能力：在中华人民共和国境内合法注册的法人应提供营业执照(或事业法人证)、组织机构代码证、税务登记证或具有统一社会信用代码的营业执照，其他组织应提供合法证明文件，自然人提供身份证件。</w:t>
      </w:r>
    </w:p>
    <w:p>
      <w:pPr>
        <w:pStyle w:val="null3"/>
      </w:pPr>
      <w:r>
        <w:rPr>
          <w:rFonts w:ascii="仿宋_GB2312" w:hAnsi="仿宋_GB2312" w:cs="仿宋_GB2312" w:eastAsia="仿宋_GB2312"/>
        </w:rPr>
        <w:t>2、供应商书面声明：(1)供应商须提供参加政府采购活动前三年内，在经营活动中没有重大违法记录的书面声明；(2)供应商须提供具有履行本合同所必需的设备和专业技术能力的声明。</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信用记录网站查询：截止至响应文件递交截止时间之前，供应商未被列入“信用中国”（https://www.creditchina.gov.cn/）网站严重失信主体名单，未被列入“中国政府采购网”（http://www.ccgp.gov.cn/）网站政府采购严重违法失信行为记录名单。</w:t>
      </w:r>
    </w:p>
    <w:p>
      <w:pPr>
        <w:pStyle w:val="null3"/>
      </w:pPr>
      <w:r>
        <w:rPr>
          <w:rFonts w:ascii="仿宋_GB2312" w:hAnsi="仿宋_GB2312" w:cs="仿宋_GB2312" w:eastAsia="仿宋_GB2312"/>
        </w:rPr>
        <w:t>5、供应商企业关系关联：单位负责人为同一人或者存在直接控股、管理关系的不同供应商，不得参加同一合同项下的政府采购活动。</w:t>
      </w:r>
    </w:p>
    <w:p>
      <w:pPr>
        <w:pStyle w:val="null3"/>
      </w:pPr>
      <w:r>
        <w:rPr>
          <w:rFonts w:ascii="仿宋_GB2312" w:hAnsi="仿宋_GB2312" w:cs="仿宋_GB2312" w:eastAsia="仿宋_GB2312"/>
        </w:rPr>
        <w:t>6、联合体：本项目不接受联合体投标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具备独立承担民事责任的能力：在中华人民共和国境内合法注册的法人应提供营业执照(或事业法人证)、组织机构代码证、税务登记证或具有统一社会信用代码的营业执照，其他组织应提供合法证明文件，自然人提供身份证件。</w:t>
      </w:r>
    </w:p>
    <w:p>
      <w:pPr>
        <w:pStyle w:val="null3"/>
      </w:pPr>
      <w:r>
        <w:rPr>
          <w:rFonts w:ascii="仿宋_GB2312" w:hAnsi="仿宋_GB2312" w:cs="仿宋_GB2312" w:eastAsia="仿宋_GB2312"/>
        </w:rPr>
        <w:t>2、供应商书面声明：(1)供应商须提供参加政府采购活动前三年内，在经营活动中没有重大违法记录的书面声明；(2)供应商须提供具有履行本合同所必需的设备和专业技术能力的声明。</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信用记录网站查询：截止至响应文件递交截止时间之前，供应商未被列入“信用中国”（https://www.creditchina.gov.cn/）网站严重失信主体名单，未被列入“中国政府采购网”（http://www.ccgp.gov.cn/）网站政府采购严重违法失信行为记录名单。</w:t>
      </w:r>
    </w:p>
    <w:p>
      <w:pPr>
        <w:pStyle w:val="null3"/>
      </w:pPr>
      <w:r>
        <w:rPr>
          <w:rFonts w:ascii="仿宋_GB2312" w:hAnsi="仿宋_GB2312" w:cs="仿宋_GB2312" w:eastAsia="仿宋_GB2312"/>
        </w:rPr>
        <w:t>5、供应商企业关系关联：单位负责人为同一人或者存在直接控股、管理关系的不同供应商，不得参加同一合同项下的政府采购活动。</w:t>
      </w:r>
    </w:p>
    <w:p>
      <w:pPr>
        <w:pStyle w:val="null3"/>
      </w:pPr>
      <w:r>
        <w:rPr>
          <w:rFonts w:ascii="仿宋_GB2312" w:hAnsi="仿宋_GB2312" w:cs="仿宋_GB2312" w:eastAsia="仿宋_GB2312"/>
        </w:rPr>
        <w:t>6、联合体：本项目不接受联合体投标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西安市鄠邑区数据和行政审批服务局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吕公路东段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西安市鄠邑区数据和行政审批服务局经办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84880133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高翠翠、崔芮菁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17719590216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采购包1：467,600.00元</w:t>
            </w:r>
          </w:p>
          <w:p>
            <w:pPr>
              <w:pStyle w:val="null3"/>
            </w:pPr>
            <w:r>
              <w:rPr>
                <w:rFonts w:ascii="仿宋_GB2312" w:hAnsi="仿宋_GB2312" w:cs="仿宋_GB2312" w:eastAsia="仿宋_GB2312"/>
              </w:rPr>
              <w:t>采购包2：432,400.00元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标段采购项目成交价为基数，参照国家计委关于印发《招标代理服务收费管理暂行办法》的通知（计价格〔2002〕1980号）《国家发展改革委关于降低部分建设项目收费标准规范收费行为等有关问题的通知》（发改价格〔2011〕534号）规定计取采购代理服务费。采购代理服务费由成交供应商支付，于发出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西安市鄠邑区数据和行政审批服务局</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西安市鄠邑区数据和行政审批服务局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西安市鄠邑区数据和行政审批服务局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（1）成果交付要求 每季度进行服务质量考核，考核指标包括网络畅通率、设备完好率、运维响应、故障处置、接入单位反馈等，考核分数大于95分的，支付全部服务费用；小于95分大于等于65分的，结算当年70%服务费用（即按比例扣除30%）；低于65分的扣除当年全部服务费用。 （2）质量验收标准或规范 根据每季度中标方传输网络巡检保障服务、网络接入技术支持服务、互联网接入服务等巡检报告进行抽检。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（1）成果交付要求 每季度进行服务质量考核，考核指标包括网络畅通率、设备完好率、运维响应、故障处置、接入单位反馈等，考核分数大于95分的，支付全部服务费用；小于95分大于等于65分的，结算当年70%服务费用（即按比例扣除30%）；低于65分的扣除当年全部服务费用。 （2）质量验收标准或规范 根据每季度中标方传输网络巡检保障服务、传输设备维保服务、网络接入技术支持服务、数据备份服务、上网行为审计服务等巡检报告进行抽检。</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联系人：崔芮菁</w:t>
      </w:r>
    </w:p>
    <w:p>
      <w:pPr>
        <w:pStyle w:val="null3"/>
      </w:pPr>
      <w:r>
        <w:rPr>
          <w:rFonts w:ascii="仿宋_GB2312" w:hAnsi="仿宋_GB2312" w:cs="仿宋_GB2312" w:eastAsia="仿宋_GB2312"/>
        </w:rPr>
        <w:t>联系电话：17719590216</w:t>
      </w:r>
    </w:p>
    <w:p>
      <w:pPr>
        <w:pStyle w:val="null3"/>
      </w:pPr>
      <w:r>
        <w:rPr>
          <w:rFonts w:ascii="仿宋_GB2312" w:hAnsi="仿宋_GB2312" w:cs="仿宋_GB2312" w:eastAsia="仿宋_GB2312"/>
        </w:rPr>
        <w:t>地址：西安市经济技术开发区凤城五路123号秦创原软科中心A座20层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服务主要实现鄠邑区电子政务网络安全防护能力提升、统一安全运维，为鄠邑区电子政务网络稳定运行夯实基础。本项目分为两个标包实施采购，标包一采购内容为58条外网及1条500M出口互联网专线；标包二采购内容为52条内网及设备维保及人员驻场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467,600.00</w:t>
      </w:r>
    </w:p>
    <w:p>
      <w:pPr>
        <w:pStyle w:val="null3"/>
      </w:pPr>
      <w:r>
        <w:rPr>
          <w:rFonts w:ascii="仿宋_GB2312" w:hAnsi="仿宋_GB2312" w:cs="仿宋_GB2312" w:eastAsia="仿宋_GB2312"/>
        </w:rPr>
        <w:t>采购包最高限价（元）: 467,600.00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电子政务网络延伸服务项目1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432,400.00</w:t>
      </w:r>
    </w:p>
    <w:p>
      <w:pPr>
        <w:pStyle w:val="null3"/>
      </w:pPr>
      <w:r>
        <w:rPr>
          <w:rFonts w:ascii="仿宋_GB2312" w:hAnsi="仿宋_GB2312" w:cs="仿宋_GB2312" w:eastAsia="仿宋_GB2312"/>
        </w:rPr>
        <w:t>采购包最高限价（元）: 432,400.00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电子政务网络延伸服务2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432,400.00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标的名称：电子政务网络延伸服务项目1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一、服务内容（包括工作区域、工作内容等）</w:t>
            </w:r>
          </w:p>
          <w:tbl>
            <w:tblPr>
              <w:tblInd w:type="dxa" w:w="90"/>
              <w:tblBorders>
                <w:top w:val="none" w:color="000000" w:sz="4"/>
                <w:left w:val="none" w:color="000000" w:sz="4"/>
                <w:bottom w:val="none" w:color="000000" w:sz="4"/>
                <w:right w:val="none" w:color="000000" w:sz="4"/>
                <w:insideH w:val="none"/>
                <w:insideV w:val="none"/>
              </w:tblBorders>
            </w:tblPr>
            <w:tblGrid>
              <w:gridCol w:w="200"/>
              <w:gridCol w:w="620"/>
              <w:gridCol w:w="1726"/>
            </w:tblGrid>
            <w:tr>
              <w:tc>
                <w:tcPr>
                  <w:tcW w:type="dxa" w:w="200"/>
                  <w:vMerge w:val="restart"/>
                  <w:tcBorders>
                    <w:top w:val="single" w:color="000000" w:sz="4"/>
                    <w:left w:val="single" w:color="000000" w:sz="4"/>
                    <w:bottom w:val="single" w:color="000000" w:sz="4"/>
                    <w:right w:val="single" w:color="000000" w:sz="4"/>
                  </w:tcBorders>
                  <w:shd w:fill="C6D9F0"/>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20"/>
                  <w:vMerge w:val="restart"/>
                  <w:tcBorders>
                    <w:top w:val="single" w:color="000000" w:sz="4"/>
                    <w:left w:val="none" w:color="000000" w:sz="4"/>
                    <w:bottom w:val="single" w:color="000000" w:sz="4"/>
                    <w:right w:val="single" w:color="000000" w:sz="4"/>
                  </w:tcBorders>
                  <w:shd w:fill="C6D9F0"/>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服务项目名称</w:t>
                  </w:r>
                </w:p>
              </w:tc>
              <w:tc>
                <w:tcPr>
                  <w:tcW w:type="dxa" w:w="1726"/>
                  <w:vMerge w:val="restart"/>
                  <w:tcBorders>
                    <w:top w:val="single" w:color="000000" w:sz="4"/>
                    <w:left w:val="none" w:color="000000" w:sz="4"/>
                    <w:bottom w:val="single" w:color="000000" w:sz="4"/>
                    <w:right w:val="single" w:color="000000" w:sz="4"/>
                  </w:tcBorders>
                  <w:shd w:fill="C6D9F0"/>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具体服务内容</w:t>
                  </w:r>
                </w:p>
              </w:tc>
            </w:tr>
            <w:tr>
              <w:tc>
                <w:tcPr>
                  <w:tcW w:type="dxa" w:w="200"/>
                  <w:vMerge/>
                  <w:tcBorders>
                    <w:top w:val="single" w:color="000000" w:sz="4"/>
                    <w:left w:val="single" w:color="000000" w:sz="4"/>
                    <w:bottom w:val="single" w:color="000000" w:sz="4"/>
                    <w:right w:val="single" w:color="000000" w:sz="4"/>
                  </w:tcBorders>
                </w:tcPr>
                <w:p/>
              </w:tc>
              <w:tc>
                <w:tcPr>
                  <w:tcW w:type="dxa" w:w="620"/>
                  <w:vMerge/>
                  <w:tcBorders>
                    <w:top w:val="single" w:color="000000" w:sz="4"/>
                    <w:left w:val="none" w:color="000000" w:sz="4"/>
                    <w:bottom w:val="single" w:color="000000" w:sz="4"/>
                    <w:right w:val="single" w:color="000000" w:sz="4"/>
                  </w:tcBorders>
                </w:tcPr>
                <w:p/>
              </w:tc>
              <w:tc>
                <w:tcPr>
                  <w:tcW w:type="dxa" w:w="1726"/>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传输网络保障服务</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1、光缆故障施工：包括人为、非人为破坏的故障预检、现场处理、工程整改完工等。</w:t>
                  </w:r>
                  <w:r>
                    <w:br/>
                  </w:r>
                  <w:r>
                    <w:rPr>
                      <w:rFonts w:ascii="仿宋_GB2312" w:hAnsi="仿宋_GB2312" w:cs="仿宋_GB2312" w:eastAsia="仿宋_GB2312"/>
                      <w:sz w:val="22"/>
                      <w:color w:val="000000"/>
                    </w:rPr>
                    <w:t>2、其它整改施工：包括架空落地、人行道改造等被动施工。</w:t>
                  </w:r>
                  <w:r>
                    <w:br/>
                  </w:r>
                  <w:r>
                    <w:rPr>
                      <w:rFonts w:ascii="仿宋_GB2312" w:hAnsi="仿宋_GB2312" w:cs="仿宋_GB2312" w:eastAsia="仿宋_GB2312"/>
                      <w:sz w:val="22"/>
                      <w:color w:val="000000"/>
                    </w:rPr>
                    <w:t>3、巡检服务：每条光纤周均1次的高频次的巡查。</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互联网接入服务</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500M互联网专线</w:t>
                  </w: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技术支持服务</w:t>
                  </w:r>
                </w:p>
              </w:tc>
              <w:tc>
                <w:tcPr>
                  <w:tcW w:type="dxa" w:w="17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提供</w:t>
                  </w:r>
                  <w:r>
                    <w:rPr>
                      <w:rFonts w:ascii="仿宋_GB2312" w:hAnsi="仿宋_GB2312" w:cs="仿宋_GB2312" w:eastAsia="仿宋_GB2312"/>
                      <w:sz w:val="22"/>
                      <w:color w:val="000000"/>
                    </w:rPr>
                    <w:t>1名专职运维人员</w:t>
                  </w:r>
                  <w:r>
                    <w:rPr>
                      <w:rFonts w:ascii="仿宋_GB2312" w:hAnsi="仿宋_GB2312" w:cs="仿宋_GB2312" w:eastAsia="仿宋_GB2312"/>
                      <w:sz w:val="22"/>
                      <w:color w:val="000000"/>
                    </w:rPr>
                    <w:t>服务。</w:t>
                  </w:r>
                  <w:r>
                    <w:br/>
                  </w:r>
                  <w:r>
                    <w:rPr>
                      <w:rFonts w:ascii="仿宋_GB2312" w:hAnsi="仿宋_GB2312" w:cs="仿宋_GB2312" w:eastAsia="仿宋_GB2312"/>
                      <w:sz w:val="22"/>
                      <w:color w:val="000000"/>
                    </w:rPr>
                    <w:t>2、7*24小时接听热线。</w:t>
                  </w:r>
                  <w:r>
                    <w:br/>
                  </w:r>
                  <w:r>
                    <w:rPr>
                      <w:rFonts w:ascii="仿宋_GB2312" w:hAnsi="仿宋_GB2312" w:cs="仿宋_GB2312" w:eastAsia="仿宋_GB2312"/>
                      <w:sz w:val="22"/>
                      <w:color w:val="000000"/>
                    </w:rPr>
                    <w:t>3、车辆运行支出</w:t>
                  </w:r>
                </w:p>
              </w:tc>
            </w:tr>
            <w:tr>
              <w:tc>
                <w:tcPr>
                  <w:tcW w:type="dxa" w:w="200"/>
                  <w:vMerge/>
                  <w:tcBorders>
                    <w:top w:val="none" w:color="000000" w:sz="4"/>
                    <w:left w:val="singl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二、技术要求</w:t>
            </w:r>
          </w:p>
          <w:p>
            <w:pPr>
              <w:pStyle w:val="null3"/>
              <w:jc w:val="both"/>
            </w:pPr>
            <w:r>
              <w:rPr>
                <w:rFonts w:ascii="仿宋_GB2312" w:hAnsi="仿宋_GB2312" w:cs="仿宋_GB2312" w:eastAsia="仿宋_GB2312"/>
                <w:sz w:val="28"/>
              </w:rPr>
              <w:t>本项目为</w:t>
            </w:r>
            <w:r>
              <w:rPr>
                <w:rFonts w:ascii="仿宋_GB2312" w:hAnsi="仿宋_GB2312" w:cs="仿宋_GB2312" w:eastAsia="仿宋_GB2312"/>
                <w:sz w:val="28"/>
              </w:rPr>
              <w:t>“交钥匙”工程，服务内容并非仅指采购清单中的一部分，而是指它们结合而成的能够协同工作的整体，以下要求均为项目基本要素，服务商应根据项目情况，提供项目所需的所有配件（如接口卡、模块、适配器、软件及授权等）、辅料（如线缆、紧固件、标签等）并承担相应的运输、安装、调试、运维、保修等费用。上述所有费用均包含在服务报价内，供应商不得以报价不包含某项配件、辅料或实施费为由拒绝提供相应产品或服务。</w:t>
            </w:r>
          </w:p>
          <w:p>
            <w:pPr>
              <w:pStyle w:val="null3"/>
              <w:ind w:firstLine="560"/>
              <w:jc w:val="left"/>
            </w:pPr>
            <w:r>
              <w:rPr>
                <w:rFonts w:ascii="仿宋_GB2312" w:hAnsi="仿宋_GB2312" w:cs="仿宋_GB2312" w:eastAsia="仿宋_GB2312"/>
                <w:sz w:val="28"/>
              </w:rPr>
              <w:t>2.1传输网络保障服务</w:t>
            </w:r>
          </w:p>
          <w:tbl>
            <w:tblPr>
              <w:tblBorders>
                <w:top w:val="none" w:color="000000" w:sz="4"/>
                <w:left w:val="none" w:color="000000" w:sz="4"/>
                <w:bottom w:val="none" w:color="000000" w:sz="4"/>
                <w:right w:val="none" w:color="000000" w:sz="4"/>
                <w:insideH w:val="none"/>
                <w:insideV w:val="none"/>
              </w:tblBorders>
            </w:tblPr>
            <w:tblGrid>
              <w:gridCol w:w="457"/>
              <w:gridCol w:w="1717"/>
              <w:gridCol w:w="369"/>
            </w:tblGrid>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服务项目</w:t>
                  </w:r>
                </w:p>
              </w:tc>
              <w:tc>
                <w:tcPr>
                  <w:tcW w:type="dxa" w:w="1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服务要求</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专线数量</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本项目共涉及专线</w:t>
                  </w:r>
                  <w:r>
                    <w:rPr>
                      <w:rFonts w:ascii="仿宋_GB2312" w:hAnsi="仿宋_GB2312" w:cs="仿宋_GB2312" w:eastAsia="仿宋_GB2312"/>
                      <w:sz w:val="22"/>
                      <w:color w:val="000000"/>
                    </w:rPr>
                    <w:t>5</w:t>
                  </w:r>
                  <w:r>
                    <w:rPr>
                      <w:rFonts w:ascii="仿宋_GB2312" w:hAnsi="仿宋_GB2312" w:cs="仿宋_GB2312" w:eastAsia="仿宋_GB2312"/>
                      <w:sz w:val="22"/>
                      <w:color w:val="000000"/>
                    </w:rPr>
                    <w:t>9</w:t>
                  </w:r>
                  <w:r>
                    <w:rPr>
                      <w:rFonts w:ascii="仿宋_GB2312" w:hAnsi="仿宋_GB2312" w:cs="仿宋_GB2312" w:eastAsia="仿宋_GB2312"/>
                      <w:sz w:val="22"/>
                      <w:color w:val="000000"/>
                    </w:rPr>
                    <w:t>条，其中包含电子政务外网</w:t>
                  </w:r>
                  <w:r>
                    <w:rPr>
                      <w:rFonts w:ascii="仿宋_GB2312" w:hAnsi="仿宋_GB2312" w:cs="仿宋_GB2312" w:eastAsia="仿宋_GB2312"/>
                      <w:sz w:val="22"/>
                      <w:color w:val="000000"/>
                    </w:rPr>
                    <w:t>5</w:t>
                  </w:r>
                  <w:r>
                    <w:rPr>
                      <w:rFonts w:ascii="仿宋_GB2312" w:hAnsi="仿宋_GB2312" w:cs="仿宋_GB2312" w:eastAsia="仿宋_GB2312"/>
                      <w:sz w:val="22"/>
                      <w:color w:val="000000"/>
                    </w:rPr>
                    <w:t>8</w:t>
                  </w:r>
                  <w:r>
                    <w:rPr>
                      <w:rFonts w:ascii="仿宋_GB2312" w:hAnsi="仿宋_GB2312" w:cs="仿宋_GB2312" w:eastAsia="仿宋_GB2312"/>
                      <w:sz w:val="22"/>
                      <w:color w:val="000000"/>
                    </w:rPr>
                    <w:t>条</w:t>
                  </w:r>
                  <w:r>
                    <w:rPr>
                      <w:rFonts w:ascii="仿宋_GB2312" w:hAnsi="仿宋_GB2312" w:cs="仿宋_GB2312" w:eastAsia="仿宋_GB2312"/>
                      <w:sz w:val="22"/>
                      <w:color w:val="000000"/>
                    </w:rPr>
                    <w:t>以及</w:t>
                  </w:r>
                  <w:r>
                    <w:rPr>
                      <w:rFonts w:ascii="仿宋_GB2312" w:hAnsi="仿宋_GB2312" w:cs="仿宋_GB2312" w:eastAsia="仿宋_GB2312"/>
                      <w:sz w:val="22"/>
                      <w:color w:val="000000"/>
                    </w:rPr>
                    <w:t>互联网出口专线</w:t>
                  </w:r>
                  <w:r>
                    <w:rPr>
                      <w:rFonts w:ascii="仿宋_GB2312" w:hAnsi="仿宋_GB2312" w:cs="仿宋_GB2312" w:eastAsia="仿宋_GB2312"/>
                      <w:sz w:val="22"/>
                      <w:color w:val="000000"/>
                    </w:rPr>
                    <w:t>1条</w:t>
                  </w:r>
                  <w:r>
                    <w:rPr>
                      <w:rFonts w:ascii="仿宋_GB2312" w:hAnsi="仿宋_GB2312" w:cs="仿宋_GB2312" w:eastAsia="仿宋_GB2312"/>
                      <w:sz w:val="22"/>
                      <w:color w:val="000000"/>
                    </w:rPr>
                    <w: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故障施工</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包括人为、非人为破坏、设备老化等原因引起的故障预检、应急相应、现场处理、工程整改完工等</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整改施工</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包括因政策要求、建筑施工改造等原因进行的架空落地、人行道改造等被动施工</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链路巡检</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提供每条专线周均</w:t>
                  </w:r>
                  <w:r>
                    <w:rPr>
                      <w:rFonts w:ascii="仿宋_GB2312" w:hAnsi="仿宋_GB2312" w:cs="仿宋_GB2312" w:eastAsia="仿宋_GB2312"/>
                      <w:sz w:val="22"/>
                      <w:color w:val="000000"/>
                    </w:rPr>
                    <w:t>1次的高频次巡查，包含专线布放所需的管路、线杆、电井等附属设施</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带宽保障</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确保任意接入点与中心机房传输带宽满足各接入单位使用要求，</w:t>
                  </w:r>
                  <w:r>
                    <w:rPr>
                      <w:rFonts w:ascii="仿宋_GB2312" w:hAnsi="仿宋_GB2312" w:cs="仿宋_GB2312" w:eastAsia="仿宋_GB2312"/>
                      <w:sz w:val="21"/>
                    </w:rPr>
                    <w:t>其中电子政务外网不低于</w:t>
                  </w:r>
                  <w:r>
                    <w:rPr>
                      <w:rFonts w:ascii="仿宋_GB2312" w:hAnsi="仿宋_GB2312" w:cs="仿宋_GB2312" w:eastAsia="仿宋_GB2312"/>
                      <w:sz w:val="21"/>
                    </w:rPr>
                    <w:t>50Mbps</w:t>
                  </w:r>
                  <w:r>
                    <w:rPr>
                      <w:rFonts w:ascii="仿宋_GB2312" w:hAnsi="仿宋_GB2312" w:cs="仿宋_GB2312" w:eastAsia="仿宋_GB2312"/>
                      <w:sz w:val="21"/>
                    </w:rPr>
                    <w:t>、网络延时不大于</w:t>
                  </w:r>
                  <w:r>
                    <w:rPr>
                      <w:rFonts w:ascii="仿宋_GB2312" w:hAnsi="仿宋_GB2312" w:cs="仿宋_GB2312" w:eastAsia="仿宋_GB2312"/>
                      <w:sz w:val="21"/>
                    </w:rPr>
                    <w:t>50ms</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应急保障</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为每条电子政务外网线路提供独立的应急专网保障措施，确保电子政务网络专线异常时，可以在</w:t>
                  </w:r>
                  <w:r>
                    <w:rPr>
                      <w:rFonts w:ascii="仿宋_GB2312" w:hAnsi="仿宋_GB2312" w:cs="仿宋_GB2312" w:eastAsia="仿宋_GB2312"/>
                      <w:sz w:val="22"/>
                      <w:color w:val="000000"/>
                    </w:rPr>
                    <w:t>15分钟内自动切换至应急线路，应急线路与核心机房的互联带宽不少于</w:t>
                  </w:r>
                  <w:r>
                    <w:rPr>
                      <w:rFonts w:ascii="仿宋_GB2312" w:hAnsi="仿宋_GB2312" w:cs="仿宋_GB2312" w:eastAsia="仿宋_GB2312"/>
                      <w:sz w:val="21"/>
                    </w:rPr>
                    <w:t>15Mbps</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8"/>
              </w:rPr>
              <w:t>2.2互联网接入服务</w:t>
            </w:r>
          </w:p>
          <w:tbl>
            <w:tblPr>
              <w:tblBorders>
                <w:top w:val="none" w:color="000000" w:sz="4"/>
                <w:left w:val="none" w:color="000000" w:sz="4"/>
                <w:bottom w:val="none" w:color="000000" w:sz="4"/>
                <w:right w:val="none" w:color="000000" w:sz="4"/>
                <w:insideH w:val="none"/>
                <w:insideV w:val="none"/>
              </w:tblBorders>
            </w:tblPr>
            <w:tblGrid>
              <w:gridCol w:w="461"/>
              <w:gridCol w:w="1712"/>
              <w:gridCol w:w="369"/>
            </w:tblGrid>
            <w:tr>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服务项目</w:t>
                  </w:r>
                </w:p>
              </w:tc>
              <w:tc>
                <w:tcPr>
                  <w:tcW w:type="dxa" w:w="1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服务要求</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接入形式</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互联网专线接入</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网络带宽</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500Mbps</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网络地址</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提供不少于</w:t>
                  </w:r>
                  <w:r>
                    <w:rPr>
                      <w:rFonts w:ascii="仿宋_GB2312" w:hAnsi="仿宋_GB2312" w:cs="仿宋_GB2312" w:eastAsia="仿宋_GB2312"/>
                      <w:sz w:val="22"/>
                      <w:color w:val="000000"/>
                    </w:rPr>
                    <w:t>16个国际互联网固定IP地址</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8"/>
              </w:rPr>
              <w:t>2.3技术支持服务</w:t>
            </w:r>
          </w:p>
          <w:tbl>
            <w:tblPr>
              <w:tblBorders>
                <w:top w:val="none" w:color="000000" w:sz="4"/>
                <w:left w:val="none" w:color="000000" w:sz="4"/>
                <w:bottom w:val="none" w:color="000000" w:sz="4"/>
                <w:right w:val="none" w:color="000000" w:sz="4"/>
                <w:insideH w:val="none"/>
                <w:insideV w:val="none"/>
              </w:tblBorders>
            </w:tblPr>
            <w:tblGrid>
              <w:gridCol w:w="457"/>
              <w:gridCol w:w="1717"/>
              <w:gridCol w:w="369"/>
            </w:tblGrid>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服务项目</w:t>
                  </w:r>
                </w:p>
              </w:tc>
              <w:tc>
                <w:tcPr>
                  <w:tcW w:type="dxa" w:w="1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服务要求</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人员</w:t>
                  </w:r>
                  <w:r>
                    <w:rPr>
                      <w:rFonts w:ascii="仿宋_GB2312" w:hAnsi="仿宋_GB2312" w:cs="仿宋_GB2312" w:eastAsia="仿宋_GB2312"/>
                      <w:sz w:val="22"/>
                      <w:color w:val="000000"/>
                    </w:rPr>
                    <w:t>服务</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提供不少于</w:t>
                  </w:r>
                  <w:r>
                    <w:rPr>
                      <w:rFonts w:ascii="仿宋_GB2312" w:hAnsi="仿宋_GB2312" w:cs="仿宋_GB2312" w:eastAsia="仿宋_GB2312"/>
                      <w:sz w:val="22"/>
                      <w:color w:val="000000"/>
                    </w:rPr>
                    <w:t>1名专职运维人员</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电话支持</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w:t>
                  </w:r>
                  <w:r>
                    <w:rPr>
                      <w:rFonts w:ascii="仿宋_GB2312" w:hAnsi="仿宋_GB2312" w:cs="仿宋_GB2312" w:eastAsia="仿宋_GB2312"/>
                      <w:sz w:val="22"/>
                      <w:color w:val="000000"/>
                    </w:rPr>
                    <w:t>7*24电话技术支持服务</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现场支持</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为各接入单位提供</w:t>
                  </w:r>
                  <w:r>
                    <w:rPr>
                      <w:rFonts w:ascii="仿宋_GB2312" w:hAnsi="仿宋_GB2312" w:cs="仿宋_GB2312" w:eastAsia="仿宋_GB2312"/>
                      <w:sz w:val="22"/>
                      <w:color w:val="000000"/>
                    </w:rPr>
                    <w:t>5*8现场技术支持服务</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车辆配备</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为项目配备不少</w:t>
                  </w:r>
                  <w:r>
                    <w:rPr>
                      <w:rFonts w:ascii="仿宋_GB2312" w:hAnsi="仿宋_GB2312" w:cs="仿宋_GB2312" w:eastAsia="仿宋_GB2312"/>
                      <w:sz w:val="22"/>
                      <w:color w:val="000000"/>
                    </w:rPr>
                    <w:t>1部专用工程车辆，并承担车辆运行所需的全部费用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三、服务要求</w:t>
            </w:r>
          </w:p>
          <w:p>
            <w:pPr>
              <w:pStyle w:val="null3"/>
              <w:jc w:val="both"/>
            </w:pPr>
            <w:r>
              <w:rPr>
                <w:rFonts w:ascii="仿宋_GB2312" w:hAnsi="仿宋_GB2312" w:cs="仿宋_GB2312" w:eastAsia="仿宋_GB2312"/>
                <w:sz w:val="28"/>
              </w:rPr>
              <w:t>3.1提供本地化服务，不少于1名专职工程师，1部专用工程车辆；</w:t>
            </w:r>
          </w:p>
          <w:p>
            <w:pPr>
              <w:pStyle w:val="null3"/>
              <w:jc w:val="both"/>
            </w:pPr>
            <w:r>
              <w:rPr>
                <w:rFonts w:ascii="仿宋_GB2312" w:hAnsi="仿宋_GB2312" w:cs="仿宋_GB2312" w:eastAsia="仿宋_GB2312"/>
                <w:sz w:val="28"/>
              </w:rPr>
              <w:t>3.2网络链路及设备月度可用性不低于95%；</w:t>
            </w:r>
          </w:p>
          <w:p>
            <w:pPr>
              <w:pStyle w:val="null3"/>
              <w:jc w:val="both"/>
            </w:pPr>
            <w:r>
              <w:rPr>
                <w:rFonts w:ascii="仿宋_GB2312" w:hAnsi="仿宋_GB2312" w:cs="仿宋_GB2312" w:eastAsia="仿宋_GB2312"/>
                <w:sz w:val="28"/>
              </w:rPr>
              <w:t>3.3单次故障响应时间不超过30分钟，单次故障排除时间不超过4小时；提供与互联网隔离（非VPN形态）的应急网络保障措施；</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标的名称：电子政务网络延伸服务2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一、服务内容</w:t>
            </w:r>
          </w:p>
          <w:tbl>
            <w:tblPr>
              <w:tblInd w:type="dxa" w:w="90"/>
              <w:tblBorders>
                <w:top w:val="none" w:color="000000" w:sz="4"/>
                <w:left w:val="none" w:color="000000" w:sz="4"/>
                <w:bottom w:val="none" w:color="000000" w:sz="4"/>
                <w:right w:val="none" w:color="000000" w:sz="4"/>
                <w:insideH w:val="none"/>
                <w:insideV w:val="none"/>
              </w:tblBorders>
            </w:tblPr>
            <w:tblGrid>
              <w:gridCol w:w="200"/>
              <w:gridCol w:w="620"/>
              <w:gridCol w:w="1726"/>
            </w:tblGrid>
            <w:tr>
              <w:tc>
                <w:tcPr>
                  <w:tcW w:type="dxa" w:w="200"/>
                  <w:vMerge w:val="restart"/>
                  <w:tcBorders>
                    <w:top w:val="single" w:color="000000" w:sz="4"/>
                    <w:left w:val="single" w:color="000000" w:sz="4"/>
                    <w:bottom w:val="single" w:color="000000" w:sz="4"/>
                    <w:right w:val="single" w:color="000000" w:sz="4"/>
                  </w:tcBorders>
                  <w:shd w:fill="C6D9F0"/>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20"/>
                  <w:vMerge w:val="restart"/>
                  <w:tcBorders>
                    <w:top w:val="single" w:color="000000" w:sz="4"/>
                    <w:left w:val="none" w:color="000000" w:sz="4"/>
                    <w:bottom w:val="single" w:color="000000" w:sz="4"/>
                    <w:right w:val="single" w:color="000000" w:sz="4"/>
                  </w:tcBorders>
                  <w:shd w:fill="C6D9F0"/>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服务项目名称</w:t>
                  </w:r>
                </w:p>
              </w:tc>
              <w:tc>
                <w:tcPr>
                  <w:tcW w:type="dxa" w:w="1726"/>
                  <w:vMerge w:val="restart"/>
                  <w:tcBorders>
                    <w:top w:val="single" w:color="000000" w:sz="4"/>
                    <w:left w:val="none" w:color="000000" w:sz="4"/>
                    <w:bottom w:val="single" w:color="000000" w:sz="4"/>
                    <w:right w:val="single" w:color="000000" w:sz="4"/>
                  </w:tcBorders>
                  <w:shd w:fill="C6D9F0"/>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具体服务内容</w:t>
                  </w:r>
                </w:p>
              </w:tc>
            </w:tr>
            <w:tr>
              <w:tc>
                <w:tcPr>
                  <w:tcW w:type="dxa" w:w="200"/>
                  <w:vMerge/>
                  <w:tcBorders>
                    <w:top w:val="single" w:color="000000" w:sz="4"/>
                    <w:left w:val="single" w:color="000000" w:sz="4"/>
                    <w:bottom w:val="single" w:color="000000" w:sz="4"/>
                    <w:right w:val="single" w:color="000000" w:sz="4"/>
                  </w:tcBorders>
                </w:tcPr>
                <w:p/>
              </w:tc>
              <w:tc>
                <w:tcPr>
                  <w:tcW w:type="dxa" w:w="620"/>
                  <w:vMerge/>
                  <w:tcBorders>
                    <w:top w:val="single" w:color="000000" w:sz="4"/>
                    <w:left w:val="none" w:color="000000" w:sz="4"/>
                    <w:bottom w:val="single" w:color="000000" w:sz="4"/>
                    <w:right w:val="single" w:color="000000" w:sz="4"/>
                  </w:tcBorders>
                </w:tcPr>
                <w:p/>
              </w:tc>
              <w:tc>
                <w:tcPr>
                  <w:tcW w:type="dxa" w:w="1726"/>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传输网络保障服务</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1、光缆故障施工：包括人为、非人为破坏的故障预检、现场处理、工程整改完工等。</w:t>
                  </w:r>
                  <w:r>
                    <w:br/>
                  </w:r>
                  <w:r>
                    <w:rPr>
                      <w:rFonts w:ascii="仿宋_GB2312" w:hAnsi="仿宋_GB2312" w:cs="仿宋_GB2312" w:eastAsia="仿宋_GB2312"/>
                      <w:sz w:val="22"/>
                      <w:color w:val="000000"/>
                    </w:rPr>
                    <w:t>2、其它整改施工：包括架空落地、人行道改造等被动施工。</w:t>
                  </w:r>
                  <w:r>
                    <w:br/>
                  </w:r>
                  <w:r>
                    <w:rPr>
                      <w:rFonts w:ascii="仿宋_GB2312" w:hAnsi="仿宋_GB2312" w:cs="仿宋_GB2312" w:eastAsia="仿宋_GB2312"/>
                      <w:sz w:val="22"/>
                      <w:color w:val="000000"/>
                    </w:rPr>
                    <w:t>3、巡检服务：每条光纤周均1次的高频次的巡查。</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网络设备维保服务</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1、政府院外设备每月巡检及现场维护，根据业务要求完成网络配置调整等技术服务。</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、接入侧安全设备、网络设备的维保服务。</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驻场技术支持服务</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1、2人驻场服务。</w:t>
                  </w:r>
                  <w:r>
                    <w:br/>
                  </w:r>
                  <w:r>
                    <w:rPr>
                      <w:rFonts w:ascii="仿宋_GB2312" w:hAnsi="仿宋_GB2312" w:cs="仿宋_GB2312" w:eastAsia="仿宋_GB2312"/>
                      <w:sz w:val="22"/>
                      <w:color w:val="000000"/>
                    </w:rPr>
                    <w:t>2、7*24小时接听热线。</w:t>
                  </w:r>
                  <w:r>
                    <w:br/>
                  </w:r>
                  <w:r>
                    <w:rPr>
                      <w:rFonts w:ascii="仿宋_GB2312" w:hAnsi="仿宋_GB2312" w:cs="仿宋_GB2312" w:eastAsia="仿宋_GB2312"/>
                      <w:sz w:val="22"/>
                      <w:color w:val="000000"/>
                    </w:rPr>
                    <w:t>3、车辆运行支出</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20"/>
                    <w:jc w:val="left"/>
                  </w:pPr>
                  <w:r>
                    <w:rPr>
                      <w:rFonts w:ascii="仿宋_GB2312" w:hAnsi="仿宋_GB2312" w:cs="仿宋_GB2312" w:eastAsia="仿宋_GB2312"/>
                      <w:sz w:val="22"/>
                      <w:color w:val="000000"/>
                    </w:rPr>
                    <w:t>数据备份服务</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以自动备份形式为全区各委办单位提供数据同城灾备、业务应急接管等数据备份服务</w:t>
                  </w: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上网行为审计服务</w:t>
                  </w:r>
                </w:p>
              </w:tc>
              <w:tc>
                <w:tcPr>
                  <w:tcW w:type="dxa" w:w="17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对全区电子政务网相关人员、系统进行上网行为审计</w:t>
                  </w:r>
                </w:p>
              </w:tc>
            </w:tr>
            <w:tr>
              <w:tc>
                <w:tcPr>
                  <w:tcW w:type="dxa" w:w="200"/>
                  <w:vMerge/>
                  <w:tcBorders>
                    <w:top w:val="none" w:color="000000" w:sz="4"/>
                    <w:left w:val="singl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二、技术要求</w:t>
            </w:r>
          </w:p>
          <w:p>
            <w:pPr>
              <w:pStyle w:val="null3"/>
              <w:ind w:firstLine="560"/>
              <w:jc w:val="left"/>
            </w:pPr>
            <w:r>
              <w:rPr>
                <w:rFonts w:ascii="仿宋_GB2312" w:hAnsi="仿宋_GB2312" w:cs="仿宋_GB2312" w:eastAsia="仿宋_GB2312"/>
                <w:sz w:val="28"/>
              </w:rPr>
              <w:t>本项目为</w:t>
            </w:r>
            <w:r>
              <w:rPr>
                <w:rFonts w:ascii="仿宋_GB2312" w:hAnsi="仿宋_GB2312" w:cs="仿宋_GB2312" w:eastAsia="仿宋_GB2312"/>
                <w:sz w:val="28"/>
              </w:rPr>
              <w:t>“交钥匙”工程，服务内容并非仅指采购清单中的一部分，而是指它们结合而成的能够协同工作的整体，以下要求均为项目基本要素，服务商应根据项目情况，提供项目所需的所有配件（如接口卡、模块、适配器、软件及授权等）、辅料（如线缆、紧固件、标签等）并承担相应的运输、安装、调试、运维、保修等费用。上述所有费用均包含在服务报价内，供应商不得以报价不包含某项配件、辅料或实施费为由拒绝提供相应产品或服务。</w:t>
            </w:r>
          </w:p>
          <w:p>
            <w:pPr>
              <w:pStyle w:val="null3"/>
            </w:pPr>
            <w:r>
              <w:rPr>
                <w:rFonts w:ascii="仿宋_GB2312" w:hAnsi="仿宋_GB2312" w:cs="仿宋_GB2312" w:eastAsia="仿宋_GB2312"/>
                <w:sz w:val="28"/>
              </w:rPr>
              <w:t>2.1传输网络保障服务</w:t>
            </w:r>
          </w:p>
          <w:tbl>
            <w:tblPr>
              <w:tblBorders>
                <w:top w:val="none" w:color="000000" w:sz="4"/>
                <w:left w:val="none" w:color="000000" w:sz="4"/>
                <w:bottom w:val="none" w:color="000000" w:sz="4"/>
                <w:right w:val="none" w:color="000000" w:sz="4"/>
                <w:insideH w:val="none"/>
                <w:insideV w:val="none"/>
              </w:tblBorders>
            </w:tblPr>
            <w:tblGrid>
              <w:gridCol w:w="457"/>
              <w:gridCol w:w="1717"/>
              <w:gridCol w:w="369"/>
            </w:tblGrid>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服务项目</w:t>
                  </w:r>
                </w:p>
              </w:tc>
              <w:tc>
                <w:tcPr>
                  <w:tcW w:type="dxa" w:w="1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服务要求</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专线数量</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共</w:t>
                  </w:r>
                  <w:r>
                    <w:rPr>
                      <w:rFonts w:ascii="仿宋_GB2312" w:hAnsi="仿宋_GB2312" w:cs="仿宋_GB2312" w:eastAsia="仿宋_GB2312"/>
                      <w:sz w:val="22"/>
                      <w:color w:val="000000"/>
                    </w:rPr>
                    <w:t>5</w:t>
                  </w:r>
                  <w:r>
                    <w:rPr>
                      <w:rFonts w:ascii="仿宋_GB2312" w:hAnsi="仿宋_GB2312" w:cs="仿宋_GB2312" w:eastAsia="仿宋_GB2312"/>
                      <w:sz w:val="22"/>
                      <w:color w:val="000000"/>
                    </w:rPr>
                    <w:t>2条电子政务内网专线</w:t>
                  </w:r>
                  <w:r>
                    <w:rPr>
                      <w:rFonts w:ascii="仿宋_GB2312" w:hAnsi="仿宋_GB2312" w:cs="仿宋_GB2312" w:eastAsia="仿宋_GB2312"/>
                      <w:sz w:val="22"/>
                      <w:color w:val="000000"/>
                    </w:rPr>
                    <w: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故障施工</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包括人为、非人为破坏、设备老化等原因引起的故障预检、应急相应、现场处理、工程整改完工等</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整改施工</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包括因政策要求、建筑施工改造等原因进行的架空落地、人行道改造等被动施工</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链路巡检</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提供每条专线周均</w:t>
                  </w:r>
                  <w:r>
                    <w:rPr>
                      <w:rFonts w:ascii="仿宋_GB2312" w:hAnsi="仿宋_GB2312" w:cs="仿宋_GB2312" w:eastAsia="仿宋_GB2312"/>
                      <w:sz w:val="22"/>
                      <w:color w:val="000000"/>
                    </w:rPr>
                    <w:t>1次的高频次巡查，包含专线布放所需的管路、线杆、电井等附属设施</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带宽保障</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确保任意接入点与中心机房传输带宽满足各接入单位使用要求，</w:t>
                  </w:r>
                  <w:r>
                    <w:rPr>
                      <w:rFonts w:ascii="仿宋_GB2312" w:hAnsi="仿宋_GB2312" w:cs="仿宋_GB2312" w:eastAsia="仿宋_GB2312"/>
                      <w:sz w:val="21"/>
                    </w:rPr>
                    <w:t>其中电子政务</w:t>
                  </w:r>
                  <w:r>
                    <w:rPr>
                      <w:rFonts w:ascii="仿宋_GB2312" w:hAnsi="仿宋_GB2312" w:cs="仿宋_GB2312" w:eastAsia="仿宋_GB2312"/>
                      <w:sz w:val="21"/>
                    </w:rPr>
                    <w:t>内</w:t>
                  </w:r>
                  <w:r>
                    <w:rPr>
                      <w:rFonts w:ascii="仿宋_GB2312" w:hAnsi="仿宋_GB2312" w:cs="仿宋_GB2312" w:eastAsia="仿宋_GB2312"/>
                      <w:sz w:val="21"/>
                    </w:rPr>
                    <w:t>网不低于</w:t>
                  </w:r>
                  <w:r>
                    <w:rPr>
                      <w:rFonts w:ascii="仿宋_GB2312" w:hAnsi="仿宋_GB2312" w:cs="仿宋_GB2312" w:eastAsia="仿宋_GB2312"/>
                      <w:sz w:val="21"/>
                    </w:rPr>
                    <w:t>1</w:t>
                  </w:r>
                  <w:r>
                    <w:rPr>
                      <w:rFonts w:ascii="仿宋_GB2312" w:hAnsi="仿宋_GB2312" w:cs="仿宋_GB2312" w:eastAsia="仿宋_GB2312"/>
                      <w:sz w:val="21"/>
                    </w:rPr>
                    <w:t>0Mbps</w:t>
                  </w:r>
                  <w:r>
                    <w:rPr>
                      <w:rFonts w:ascii="仿宋_GB2312" w:hAnsi="仿宋_GB2312" w:cs="仿宋_GB2312" w:eastAsia="仿宋_GB2312"/>
                      <w:sz w:val="21"/>
                    </w:rPr>
                    <w:t>、网络延时不大于</w:t>
                  </w:r>
                  <w:r>
                    <w:rPr>
                      <w:rFonts w:ascii="仿宋_GB2312" w:hAnsi="仿宋_GB2312" w:cs="仿宋_GB2312" w:eastAsia="仿宋_GB2312"/>
                      <w:sz w:val="21"/>
                    </w:rPr>
                    <w:t>50ms</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2</w:t>
            </w:r>
            <w:r>
              <w:rPr>
                <w:rFonts w:ascii="仿宋_GB2312" w:hAnsi="仿宋_GB2312" w:cs="仿宋_GB2312" w:eastAsia="仿宋_GB2312"/>
                <w:sz w:val="28"/>
              </w:rPr>
              <w:t>网络设备维保服务</w:t>
            </w:r>
          </w:p>
          <w:tbl>
            <w:tblPr>
              <w:tblBorders>
                <w:top w:val="none" w:color="000000" w:sz="4"/>
                <w:left w:val="none" w:color="000000" w:sz="4"/>
                <w:bottom w:val="none" w:color="000000" w:sz="4"/>
                <w:right w:val="none" w:color="000000" w:sz="4"/>
                <w:insideH w:val="none"/>
                <w:insideV w:val="none"/>
              </w:tblBorders>
            </w:tblPr>
            <w:tblGrid>
              <w:gridCol w:w="457"/>
              <w:gridCol w:w="1717"/>
              <w:gridCol w:w="369"/>
            </w:tblGrid>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服务项目</w:t>
                  </w:r>
                </w:p>
              </w:tc>
              <w:tc>
                <w:tcPr>
                  <w:tcW w:type="dxa" w:w="1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服务要求</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接入防火墙</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共</w:t>
                  </w:r>
                  <w:r>
                    <w:rPr>
                      <w:rFonts w:ascii="仿宋_GB2312" w:hAnsi="仿宋_GB2312" w:cs="仿宋_GB2312" w:eastAsia="仿宋_GB2312"/>
                      <w:sz w:val="22"/>
                      <w:color w:val="000000"/>
                    </w:rPr>
                    <w:t>68</w:t>
                  </w:r>
                  <w:r>
                    <w:rPr>
                      <w:rFonts w:ascii="仿宋_GB2312" w:hAnsi="仿宋_GB2312" w:cs="仿宋_GB2312" w:eastAsia="仿宋_GB2312"/>
                      <w:sz w:val="22"/>
                      <w:color w:val="000000"/>
                    </w:rPr>
                    <w:t>台接入防火墙</w:t>
                  </w:r>
                </w:p>
                <w:p>
                  <w:pPr>
                    <w:pStyle w:val="null3"/>
                    <w:jc w:val="left"/>
                  </w:pPr>
                  <w:r>
                    <w:rPr>
                      <w:rFonts w:ascii="仿宋_GB2312" w:hAnsi="仿宋_GB2312" w:cs="仿宋_GB2312" w:eastAsia="仿宋_GB2312"/>
                      <w:sz w:val="22"/>
                      <w:color w:val="000000"/>
                    </w:rPr>
                    <w:t>防火墙具备</w:t>
                  </w:r>
                  <w:r>
                    <w:rPr>
                      <w:rFonts w:ascii="仿宋_GB2312" w:hAnsi="仿宋_GB2312" w:cs="仿宋_GB2312" w:eastAsia="仿宋_GB2312"/>
                      <w:sz w:val="22"/>
                      <w:color w:val="000000"/>
                    </w:rPr>
                    <w:t>7个千兆电口、2个Bypass口、2个Combo口，1个硬盘槽位</w:t>
                  </w:r>
                </w:p>
                <w:p>
                  <w:pPr>
                    <w:pStyle w:val="null3"/>
                    <w:jc w:val="left"/>
                  </w:pPr>
                  <w:r>
                    <w:rPr>
                      <w:rFonts w:ascii="仿宋_GB2312" w:hAnsi="仿宋_GB2312" w:cs="仿宋_GB2312" w:eastAsia="仿宋_GB2312"/>
                      <w:sz w:val="22"/>
                      <w:color w:val="000000"/>
                    </w:rPr>
                    <w:t>提供基础防火墙、防病毒、入侵防御、</w:t>
                  </w:r>
                  <w:r>
                    <w:rPr>
                      <w:rFonts w:ascii="仿宋_GB2312" w:hAnsi="仿宋_GB2312" w:cs="仿宋_GB2312" w:eastAsia="仿宋_GB2312"/>
                      <w:sz w:val="22"/>
                      <w:color w:val="000000"/>
                    </w:rPr>
                    <w:t>URL过滤等功能</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接入交换机</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共</w:t>
                  </w:r>
                  <w:r>
                    <w:rPr>
                      <w:rFonts w:ascii="仿宋_GB2312" w:hAnsi="仿宋_GB2312" w:cs="仿宋_GB2312" w:eastAsia="仿宋_GB2312"/>
                      <w:sz w:val="22"/>
                      <w:color w:val="000000"/>
                    </w:rPr>
                    <w:t>126台三层接入交换机</w:t>
                  </w:r>
                </w:p>
                <w:p>
                  <w:pPr>
                    <w:pStyle w:val="null3"/>
                    <w:jc w:val="left"/>
                  </w:pPr>
                  <w:r>
                    <w:rPr>
                      <w:rFonts w:ascii="仿宋_GB2312" w:hAnsi="仿宋_GB2312" w:cs="仿宋_GB2312" w:eastAsia="仿宋_GB2312"/>
                      <w:sz w:val="22"/>
                      <w:color w:val="000000"/>
                    </w:rPr>
                    <w:t>交换机具备</w:t>
                  </w:r>
                  <w:r>
                    <w:rPr>
                      <w:rFonts w:ascii="仿宋_GB2312" w:hAnsi="仿宋_GB2312" w:cs="仿宋_GB2312" w:eastAsia="仿宋_GB2312"/>
                      <w:sz w:val="22"/>
                      <w:color w:val="000000"/>
                    </w:rPr>
                    <w:t>24个千兆电口、4个千兆光口</w:t>
                  </w:r>
                </w:p>
                <w:p>
                  <w:pPr>
                    <w:pStyle w:val="null3"/>
                    <w:jc w:val="left"/>
                  </w:pPr>
                  <w:r>
                    <w:rPr>
                      <w:rFonts w:ascii="仿宋_GB2312" w:hAnsi="仿宋_GB2312" w:cs="仿宋_GB2312" w:eastAsia="仿宋_GB2312"/>
                      <w:sz w:val="22"/>
                      <w:color w:val="000000"/>
                    </w:rPr>
                    <w:t>交换机支持</w:t>
                  </w:r>
                  <w:r>
                    <w:rPr>
                      <w:rFonts w:ascii="仿宋_GB2312" w:hAnsi="仿宋_GB2312" w:cs="仿宋_GB2312" w:eastAsia="仿宋_GB2312"/>
                      <w:sz w:val="22"/>
                      <w:color w:val="000000"/>
                    </w:rPr>
                    <w:t>WEB、命令行等多种管理方式，支持作为DHCP SERVER为终端提供服务</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汇聚交换机</w:t>
                  </w:r>
                  <w:r>
                    <w:rPr>
                      <w:rFonts w:ascii="仿宋_GB2312" w:hAnsi="仿宋_GB2312" w:cs="仿宋_GB2312" w:eastAsia="仿宋_GB2312"/>
                      <w:sz w:val="22"/>
                      <w:color w:val="000000"/>
                    </w:rPr>
                    <w:t>1</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共</w:t>
                  </w:r>
                  <w:r>
                    <w:rPr>
                      <w:rFonts w:ascii="仿宋_GB2312" w:hAnsi="仿宋_GB2312" w:cs="仿宋_GB2312" w:eastAsia="仿宋_GB2312"/>
                      <w:sz w:val="22"/>
                      <w:color w:val="000000"/>
                    </w:rPr>
                    <w:t>4台盒式汇聚交换机</w:t>
                  </w:r>
                </w:p>
                <w:p>
                  <w:pPr>
                    <w:pStyle w:val="null3"/>
                    <w:jc w:val="left"/>
                  </w:pPr>
                  <w:r>
                    <w:rPr>
                      <w:rFonts w:ascii="仿宋_GB2312" w:hAnsi="仿宋_GB2312" w:cs="仿宋_GB2312" w:eastAsia="仿宋_GB2312"/>
                      <w:sz w:val="22"/>
                      <w:color w:val="000000"/>
                    </w:rPr>
                    <w:t>交换机具备</w:t>
                  </w:r>
                  <w:r>
                    <w:rPr>
                      <w:rFonts w:ascii="仿宋_GB2312" w:hAnsi="仿宋_GB2312" w:cs="仿宋_GB2312" w:eastAsia="仿宋_GB2312"/>
                      <w:sz w:val="22"/>
                      <w:color w:val="000000"/>
                    </w:rPr>
                    <w:t>24个千兆光口、4个万兆光口</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汇聚交换机</w:t>
                  </w:r>
                  <w:r>
                    <w:rPr>
                      <w:rFonts w:ascii="仿宋_GB2312" w:hAnsi="仿宋_GB2312" w:cs="仿宋_GB2312" w:eastAsia="仿宋_GB2312"/>
                      <w:sz w:val="22"/>
                      <w:color w:val="000000"/>
                    </w:rPr>
                    <w:t>2</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1台框式汇聚交换机</w:t>
                  </w:r>
                </w:p>
                <w:p>
                  <w:pPr>
                    <w:pStyle w:val="null3"/>
                    <w:jc w:val="left"/>
                  </w:pPr>
                  <w:r>
                    <w:rPr>
                      <w:rFonts w:ascii="仿宋_GB2312" w:hAnsi="仿宋_GB2312" w:cs="仿宋_GB2312" w:eastAsia="仿宋_GB2312"/>
                      <w:sz w:val="22"/>
                      <w:color w:val="000000"/>
                    </w:rPr>
                    <w:t>交换机具备</w:t>
                  </w:r>
                  <w:r>
                    <w:rPr>
                      <w:rFonts w:ascii="仿宋_GB2312" w:hAnsi="仿宋_GB2312" w:cs="仿宋_GB2312" w:eastAsia="仿宋_GB2312"/>
                      <w:sz w:val="22"/>
                      <w:color w:val="000000"/>
                    </w:rPr>
                    <w:t>3个板卡插槽</w:t>
                  </w:r>
                </w:p>
                <w:p>
                  <w:pPr>
                    <w:pStyle w:val="null3"/>
                    <w:jc w:val="left"/>
                  </w:pPr>
                  <w:r>
                    <w:rPr>
                      <w:rFonts w:ascii="仿宋_GB2312" w:hAnsi="仿宋_GB2312" w:cs="仿宋_GB2312" w:eastAsia="仿宋_GB2312"/>
                      <w:sz w:val="22"/>
                      <w:color w:val="000000"/>
                    </w:rPr>
                    <w:t>交换机具备</w:t>
                  </w:r>
                  <w:r>
                    <w:rPr>
                      <w:rFonts w:ascii="仿宋_GB2312" w:hAnsi="仿宋_GB2312" w:cs="仿宋_GB2312" w:eastAsia="仿宋_GB2312"/>
                      <w:sz w:val="22"/>
                      <w:color w:val="000000"/>
                    </w:rPr>
                    <w:t>48个千兆光、4个万兆光、24个千兆电口</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统一网管</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提供基于统一网管平台的运维服务</w:t>
                  </w:r>
                </w:p>
                <w:p>
                  <w:pPr>
                    <w:pStyle w:val="null3"/>
                    <w:jc w:val="left"/>
                  </w:pPr>
                  <w:r>
                    <w:rPr>
                      <w:rFonts w:ascii="仿宋_GB2312" w:hAnsi="仿宋_GB2312" w:cs="仿宋_GB2312" w:eastAsia="仿宋_GB2312"/>
                      <w:sz w:val="22"/>
                      <w:color w:val="000000"/>
                    </w:rPr>
                    <w:t>针对本项目的全部网络节点进行统一管理、集中告警，实时进行拓扑管理、配置下发、故障根源分析等</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日常巡检</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提供每设备月均</w:t>
                  </w:r>
                  <w:r>
                    <w:rPr>
                      <w:rFonts w:ascii="仿宋_GB2312" w:hAnsi="仿宋_GB2312" w:cs="仿宋_GB2312" w:eastAsia="仿宋_GB2312"/>
                      <w:sz w:val="22"/>
                      <w:color w:val="000000"/>
                    </w:rPr>
                    <w:t>1次的巡查服务</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维保要求</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服务方须自行评估现有网络设备的运行状态，提供所有设备的维保服务，承担维保所产生的全部费用</w:t>
                  </w:r>
                </w:p>
                <w:p>
                  <w:pPr>
                    <w:pStyle w:val="null3"/>
                    <w:jc w:val="both"/>
                  </w:pPr>
                  <w:r>
                    <w:rPr>
                      <w:rFonts w:ascii="仿宋_GB2312" w:hAnsi="仿宋_GB2312" w:cs="仿宋_GB2312" w:eastAsia="仿宋_GB2312"/>
                      <w:sz w:val="22"/>
                      <w:color w:val="000000"/>
                    </w:rPr>
                    <w:t>根据业务要求，提供设备的安装、调试等费用</w:t>
                  </w:r>
                </w:p>
                <w:p>
                  <w:pPr>
                    <w:pStyle w:val="null3"/>
                    <w:jc w:val="both"/>
                  </w:pPr>
                  <w:r>
                    <w:rPr>
                      <w:rFonts w:ascii="仿宋_GB2312" w:hAnsi="仿宋_GB2312" w:cs="仿宋_GB2312" w:eastAsia="仿宋_GB2312"/>
                      <w:sz w:val="22"/>
                      <w:color w:val="000000"/>
                    </w:rPr>
                    <w:t>项目运行期间，现有设备因功能、性能或政策等原因无法满足需求时，服务方应采用满足各项要求的产品予以替换并承担因此产生的所有费用，合同期满后向采购人移交全部产权。</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驻场技术支持服务</w:t>
            </w:r>
          </w:p>
          <w:tbl>
            <w:tblPr>
              <w:tblBorders>
                <w:top w:val="none" w:color="000000" w:sz="4"/>
                <w:left w:val="none" w:color="000000" w:sz="4"/>
                <w:bottom w:val="none" w:color="000000" w:sz="4"/>
                <w:right w:val="none" w:color="000000" w:sz="4"/>
                <w:insideH w:val="none"/>
                <w:insideV w:val="none"/>
              </w:tblBorders>
            </w:tblPr>
            <w:tblGrid>
              <w:gridCol w:w="457"/>
              <w:gridCol w:w="1717"/>
              <w:gridCol w:w="369"/>
            </w:tblGrid>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服务项目</w:t>
                  </w:r>
                </w:p>
              </w:tc>
              <w:tc>
                <w:tcPr>
                  <w:tcW w:type="dxa" w:w="1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服务要求</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驻场服务</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提供不少于</w:t>
                  </w:r>
                  <w:r>
                    <w:rPr>
                      <w:rFonts w:ascii="仿宋_GB2312" w:hAnsi="仿宋_GB2312" w:cs="仿宋_GB2312" w:eastAsia="仿宋_GB2312"/>
                      <w:sz w:val="22"/>
                      <w:color w:val="000000"/>
                    </w:rPr>
                    <w:t>2名专职运维人员</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电话支持</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w:t>
                  </w:r>
                  <w:r>
                    <w:rPr>
                      <w:rFonts w:ascii="仿宋_GB2312" w:hAnsi="仿宋_GB2312" w:cs="仿宋_GB2312" w:eastAsia="仿宋_GB2312"/>
                      <w:sz w:val="22"/>
                      <w:color w:val="000000"/>
                    </w:rPr>
                    <w:t>7*24电话技术支持服务</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现场支持</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为各接入单位提供</w:t>
                  </w:r>
                  <w:r>
                    <w:rPr>
                      <w:rFonts w:ascii="仿宋_GB2312" w:hAnsi="仿宋_GB2312" w:cs="仿宋_GB2312" w:eastAsia="仿宋_GB2312"/>
                      <w:sz w:val="22"/>
                      <w:color w:val="000000"/>
                    </w:rPr>
                    <w:t>5*8现场技术支持服务</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车辆配备</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为项目配备不少</w:t>
                  </w:r>
                  <w:r>
                    <w:rPr>
                      <w:rFonts w:ascii="仿宋_GB2312" w:hAnsi="仿宋_GB2312" w:cs="仿宋_GB2312" w:eastAsia="仿宋_GB2312"/>
                      <w:sz w:val="22"/>
                      <w:color w:val="000000"/>
                    </w:rPr>
                    <w:t>1部专用工程车辆，并承担车辆运行所需的全部费用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4</w:t>
            </w:r>
            <w:r>
              <w:rPr>
                <w:rFonts w:ascii="仿宋_GB2312" w:hAnsi="仿宋_GB2312" w:cs="仿宋_GB2312" w:eastAsia="仿宋_GB2312"/>
                <w:sz w:val="28"/>
              </w:rPr>
              <w:t>数据备份服务</w:t>
            </w:r>
          </w:p>
          <w:tbl>
            <w:tblPr>
              <w:tblBorders>
                <w:top w:val="none" w:color="000000" w:sz="4"/>
                <w:left w:val="none" w:color="000000" w:sz="4"/>
                <w:bottom w:val="none" w:color="000000" w:sz="4"/>
                <w:right w:val="none" w:color="000000" w:sz="4"/>
                <w:insideH w:val="none"/>
                <w:insideV w:val="none"/>
              </w:tblBorders>
            </w:tblPr>
            <w:tblGrid>
              <w:gridCol w:w="461"/>
              <w:gridCol w:w="1712"/>
              <w:gridCol w:w="369"/>
            </w:tblGrid>
            <w:tr>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服务项目</w:t>
                  </w:r>
                </w:p>
              </w:tc>
              <w:tc>
                <w:tcPr>
                  <w:tcW w:type="dxa" w:w="1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服务要求</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硬件要求</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提供不少于</w:t>
                  </w:r>
                  <w:r>
                    <w:rPr>
                      <w:rFonts w:ascii="仿宋_GB2312" w:hAnsi="仿宋_GB2312" w:cs="仿宋_GB2312" w:eastAsia="仿宋_GB2312"/>
                      <w:sz w:val="22"/>
                      <w:color w:val="000000"/>
                    </w:rPr>
                    <w:t>4台备份服务器，每台服务器配置要求：</w:t>
                  </w:r>
                </w:p>
                <w:p>
                  <w:pPr>
                    <w:pStyle w:val="null3"/>
                    <w:jc w:val="left"/>
                  </w:pPr>
                  <w:r>
                    <w:rPr>
                      <w:rFonts w:ascii="仿宋_GB2312" w:hAnsi="仿宋_GB2312" w:cs="仿宋_GB2312" w:eastAsia="仿宋_GB2312"/>
                      <w:sz w:val="22"/>
                      <w:color w:val="000000"/>
                    </w:rPr>
                    <w:t>CPU</w:t>
                  </w:r>
                  <w:r>
                    <w:rPr>
                      <w:rFonts w:ascii="仿宋_GB2312" w:hAnsi="仿宋_GB2312" w:cs="仿宋_GB2312" w:eastAsia="仿宋_GB2312"/>
                      <w:sz w:val="22"/>
                      <w:color w:val="000000"/>
                    </w:rPr>
                    <w:t>≥ 48核</w:t>
                  </w:r>
                  <w:r>
                    <w:rPr>
                      <w:rFonts w:ascii="仿宋_GB2312" w:hAnsi="仿宋_GB2312" w:cs="仿宋_GB2312" w:eastAsia="仿宋_GB2312"/>
                      <w:sz w:val="22"/>
                      <w:color w:val="000000"/>
                    </w:rPr>
                    <w:t>/2</w:t>
                  </w:r>
                  <w:r>
                    <w:rPr>
                      <w:rFonts w:ascii="仿宋_GB2312" w:hAnsi="仿宋_GB2312" w:cs="仿宋_GB2312" w:eastAsia="仿宋_GB2312"/>
                      <w:sz w:val="22"/>
                      <w:color w:val="000000"/>
                    </w:rPr>
                    <w:t>.3GHz；内存≥512GB；扩展性：可扩展≥24个内存插槽，官方支持最大内存容量不小于3.0TB；存储≥8块6T SAS硬盘，≥2块960G NVME-SSD硬盘；阵列卡</w:t>
                  </w:r>
                  <w:r>
                    <w:rPr>
                      <w:rFonts w:ascii="仿宋_GB2312" w:hAnsi="仿宋_GB2312" w:cs="仿宋_GB2312" w:eastAsia="仿宋_GB2312"/>
                      <w:sz w:val="22"/>
                      <w:color w:val="000000"/>
                    </w:rPr>
                    <w:t>≥1个标配SAS RAID阵列卡，支持RAID0/1/10/5/6/50/60；≥1GB缓存，支持缓存数据保护，且后备保护时间不受限制。</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存储功能</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IPSAN、NAS等形式为电子政务网各业务单位提供网络存储功能</w:t>
                  </w:r>
                </w:p>
                <w:p>
                  <w:pPr>
                    <w:pStyle w:val="null3"/>
                    <w:jc w:val="left"/>
                  </w:pPr>
                  <w:r>
                    <w:rPr>
                      <w:rFonts w:ascii="仿宋_GB2312" w:hAnsi="仿宋_GB2312" w:cs="仿宋_GB2312" w:eastAsia="仿宋_GB2312"/>
                      <w:sz w:val="22"/>
                      <w:color w:val="000000"/>
                    </w:rPr>
                    <w:t>配置重复数据删除或数据压缩功能</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备份功能</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Windows、Linux等操作系统下的文件在线备份。</w:t>
                  </w:r>
                </w:p>
                <w:p>
                  <w:pPr>
                    <w:pStyle w:val="null3"/>
                    <w:jc w:val="left"/>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Windows、Linux等平台下Oracle、Oracle RAC、SQL Server、MySQL等主流数据库备份及恢复。</w:t>
                  </w:r>
                </w:p>
                <w:p>
                  <w:pPr>
                    <w:pStyle w:val="null3"/>
                    <w:jc w:val="left"/>
                  </w:pPr>
                  <w:r>
                    <w:rPr>
                      <w:rFonts w:ascii="仿宋_GB2312" w:hAnsi="仿宋_GB2312" w:cs="仿宋_GB2312" w:eastAsia="仿宋_GB2312"/>
                      <w:sz w:val="22"/>
                      <w:color w:val="000000"/>
                    </w:rPr>
                    <w:t>支持直接对</w:t>
                  </w:r>
                  <w:r>
                    <w:rPr>
                      <w:rFonts w:ascii="仿宋_GB2312" w:hAnsi="仿宋_GB2312" w:cs="仿宋_GB2312" w:eastAsia="仿宋_GB2312"/>
                      <w:sz w:val="22"/>
                      <w:color w:val="000000"/>
                    </w:rPr>
                    <w:t>RDS数据库和基于NFS、CIFS协议的网络存储进行数据备份保护，无需任何中转设备或系统。</w:t>
                  </w:r>
                </w:p>
                <w:p>
                  <w:pPr>
                    <w:pStyle w:val="null3"/>
                    <w:jc w:val="left"/>
                  </w:pPr>
                  <w:r>
                    <w:rPr>
                      <w:rFonts w:ascii="仿宋_GB2312" w:hAnsi="仿宋_GB2312" w:cs="仿宋_GB2312" w:eastAsia="仿宋_GB2312"/>
                      <w:sz w:val="22"/>
                      <w:color w:val="000000"/>
                    </w:rPr>
                    <w:t>支持对</w:t>
                  </w:r>
                  <w:r>
                    <w:rPr>
                      <w:rFonts w:ascii="仿宋_GB2312" w:hAnsi="仿宋_GB2312" w:cs="仿宋_GB2312" w:eastAsia="仿宋_GB2312"/>
                      <w:sz w:val="22"/>
                      <w:color w:val="000000"/>
                    </w:rPr>
                    <w:t>X86架构下的物理机、虚拟机、超融合、私有云和公有云提供统一的将主机的操作系统、应用系统、数据库和数据作为一个整体的、基于磁盘数据块复制技术的一致性灾备保护</w:t>
                  </w:r>
                </w:p>
                <w:p>
                  <w:pPr>
                    <w:pStyle w:val="null3"/>
                    <w:jc w:val="left"/>
                  </w:pPr>
                  <w:r>
                    <w:rPr>
                      <w:rFonts w:ascii="仿宋_GB2312" w:hAnsi="仿宋_GB2312" w:cs="仿宋_GB2312" w:eastAsia="仿宋_GB2312"/>
                      <w:sz w:val="22"/>
                      <w:color w:val="000000"/>
                    </w:rPr>
                    <w:t>支持采用分布式的软件定义存储架构，在通用服务器部署，把所有服务器硬盘组织成一个虚拟存储资源池，提供分布式存储服务，无需独立的元数据及控制器节点，使用超融合管理平台统一管理，无需在计算虚拟化平台上部署存储控制器。同一平台支持提供多种存储服务，包括分布式块，对象，</w:t>
                  </w:r>
                  <w:r>
                    <w:rPr>
                      <w:rFonts w:ascii="仿宋_GB2312" w:hAnsi="仿宋_GB2312" w:cs="仿宋_GB2312" w:eastAsia="仿宋_GB2312"/>
                      <w:sz w:val="22"/>
                      <w:color w:val="000000"/>
                    </w:rPr>
                    <w:t>NAS存储服务，可提供S3兼容接口；支持IQN安全认证，只有通过IQN认证的客户端方可访问存储卷，无认证主机或客户端无法识别访问到相应的存储卷。采用条带化数据多副本机制保证数据可靠性，存储软件将物理硬盘划分为4MB大小的chunk为单位保存数据，不允许采用物理硬盘RAID1的冗余方式，存储节点内不需要使用独立的热备盘。支持纠删码特性，支持N+1到N+4的纠删码保护，最大支持任意4个节点故障而数据不丢失、系统不停机；</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应急保障</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当主业务系统发生故障时，支持以备份数据对外提供应急数据服务</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虚拟化</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通过虚拟化软件将</w:t>
                  </w:r>
                  <w:r>
                    <w:rPr>
                      <w:rFonts w:ascii="仿宋_GB2312" w:hAnsi="仿宋_GB2312" w:cs="仿宋_GB2312" w:eastAsia="仿宋_GB2312"/>
                      <w:sz w:val="22"/>
                      <w:color w:val="000000"/>
                    </w:rPr>
                    <w:t>3台物理服务器整合成一个集群，合理分配资源。将旧物理服务器业务系统迁移至虚拟化集群中，提高业务可靠性，集群支持HA DRS功能。</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5</w:t>
            </w:r>
            <w:r>
              <w:rPr>
                <w:rFonts w:ascii="仿宋_GB2312" w:hAnsi="仿宋_GB2312" w:cs="仿宋_GB2312" w:eastAsia="仿宋_GB2312"/>
                <w:sz w:val="28"/>
                <w:color w:val="000000"/>
              </w:rPr>
              <w:t>上网行为审计服务</w:t>
            </w:r>
          </w:p>
          <w:tbl>
            <w:tblPr>
              <w:tblBorders>
                <w:top w:val="none" w:color="000000" w:sz="4"/>
                <w:left w:val="none" w:color="000000" w:sz="4"/>
                <w:bottom w:val="none" w:color="000000" w:sz="4"/>
                <w:right w:val="none" w:color="000000" w:sz="4"/>
                <w:insideH w:val="none"/>
                <w:insideV w:val="none"/>
              </w:tblBorders>
            </w:tblPr>
            <w:tblGrid>
              <w:gridCol w:w="461"/>
              <w:gridCol w:w="1712"/>
              <w:gridCol w:w="369"/>
            </w:tblGrid>
            <w:tr>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服务项目</w:t>
                  </w:r>
                </w:p>
              </w:tc>
              <w:tc>
                <w:tcPr>
                  <w:tcW w:type="dxa" w:w="1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服务要求</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整体要求</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针对全区电子政务网接入用户提供上网行为审计、日志留存等服务，并发服务能力不低于</w:t>
                  </w:r>
                  <w:r>
                    <w:rPr>
                      <w:rFonts w:ascii="仿宋_GB2312" w:hAnsi="仿宋_GB2312" w:cs="仿宋_GB2312" w:eastAsia="仿宋_GB2312"/>
                      <w:sz w:val="22"/>
                      <w:color w:val="000000"/>
                    </w:rPr>
                    <w:t>5000人，支持带宽不低于1000Mbps，日志保留时间不少于6个月</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策略管理</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策略配置集成应用控制、行为审计、身份认证、安全防护等多个维度于一体，一条策略即可完成多个功能模块配置，可以根据不同的管控需求，为不同的用户定制不同的管理策略，灵活方便，维护简单。</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身份认证</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本地认证</w:t>
                  </w:r>
                  <w:r>
                    <w:rPr>
                      <w:rFonts w:ascii="仿宋_GB2312" w:hAnsi="仿宋_GB2312" w:cs="仿宋_GB2312" w:eastAsia="仿宋_GB2312"/>
                      <w:sz w:val="22"/>
                      <w:color w:val="000000"/>
                    </w:rPr>
                    <w:t>、</w:t>
                  </w:r>
                  <w:r>
                    <w:rPr>
                      <w:rFonts w:ascii="仿宋_GB2312" w:hAnsi="仿宋_GB2312" w:cs="仿宋_GB2312" w:eastAsia="仿宋_GB2312"/>
                      <w:sz w:val="22"/>
                      <w:color w:val="000000"/>
                    </w:rPr>
                    <w:t>单点登录</w:t>
                  </w:r>
                  <w:r>
                    <w:rPr>
                      <w:rFonts w:ascii="仿宋_GB2312" w:hAnsi="仿宋_GB2312" w:cs="仿宋_GB2312" w:eastAsia="仿宋_GB2312"/>
                      <w:sz w:val="22"/>
                      <w:color w:val="000000"/>
                    </w:rPr>
                    <w:t>、</w:t>
                  </w:r>
                  <w:r>
                    <w:rPr>
                      <w:rFonts w:ascii="仿宋_GB2312" w:hAnsi="仿宋_GB2312" w:cs="仿宋_GB2312" w:eastAsia="仿宋_GB2312"/>
                      <w:sz w:val="22"/>
                      <w:color w:val="000000"/>
                    </w:rPr>
                    <w:t>第三方认证</w:t>
                  </w:r>
                  <w:r>
                    <w:rPr>
                      <w:rFonts w:ascii="仿宋_GB2312" w:hAnsi="仿宋_GB2312" w:cs="仿宋_GB2312" w:eastAsia="仿宋_GB2312"/>
                      <w:sz w:val="22"/>
                      <w:color w:val="000000"/>
                    </w:rPr>
                    <w:t>、</w:t>
                  </w:r>
                  <w:r>
                    <w:rPr>
                      <w:rFonts w:ascii="仿宋_GB2312" w:hAnsi="仿宋_GB2312" w:cs="仿宋_GB2312" w:eastAsia="仿宋_GB2312"/>
                      <w:sz w:val="22"/>
                      <w:color w:val="000000"/>
                    </w:rPr>
                    <w:t>APP认证</w:t>
                  </w:r>
                  <w:r>
                    <w:rPr>
                      <w:rFonts w:ascii="仿宋_GB2312" w:hAnsi="仿宋_GB2312" w:cs="仿宋_GB2312" w:eastAsia="仿宋_GB2312"/>
                      <w:sz w:val="22"/>
                      <w:color w:val="000000"/>
                    </w:rPr>
                    <w:t>、</w:t>
                  </w:r>
                  <w:r>
                    <w:rPr>
                      <w:rFonts w:ascii="仿宋_GB2312" w:hAnsi="仿宋_GB2312" w:cs="仿宋_GB2312" w:eastAsia="仿宋_GB2312"/>
                      <w:sz w:val="22"/>
                      <w:color w:val="000000"/>
                    </w:rPr>
                    <w:t>微信公众号认证</w:t>
                  </w:r>
                  <w:r>
                    <w:rPr>
                      <w:rFonts w:ascii="仿宋_GB2312" w:hAnsi="仿宋_GB2312" w:cs="仿宋_GB2312" w:eastAsia="仿宋_GB2312"/>
                      <w:sz w:val="22"/>
                      <w:color w:val="000000"/>
                    </w:rPr>
                    <w:t>、</w:t>
                  </w:r>
                  <w:r>
                    <w:rPr>
                      <w:rFonts w:ascii="仿宋_GB2312" w:hAnsi="仿宋_GB2312" w:cs="仿宋_GB2312" w:eastAsia="仿宋_GB2312"/>
                      <w:sz w:val="22"/>
                      <w:color w:val="000000"/>
                    </w:rPr>
                    <w:t>混合认证</w:t>
                  </w:r>
                  <w:r>
                    <w:rPr>
                      <w:rFonts w:ascii="仿宋_GB2312" w:hAnsi="仿宋_GB2312" w:cs="仿宋_GB2312" w:eastAsia="仿宋_GB2312"/>
                      <w:sz w:val="22"/>
                      <w:color w:val="000000"/>
                    </w:rPr>
                    <w:t>、</w:t>
                  </w:r>
                  <w:r>
                    <w:rPr>
                      <w:rFonts w:ascii="仿宋_GB2312" w:hAnsi="仿宋_GB2312" w:cs="仿宋_GB2312" w:eastAsia="仿宋_GB2312"/>
                      <w:sz w:val="22"/>
                      <w:color w:val="000000"/>
                    </w:rPr>
                    <w:t>免认证</w:t>
                  </w:r>
                  <w:r>
                    <w:rPr>
                      <w:rFonts w:ascii="仿宋_GB2312" w:hAnsi="仿宋_GB2312" w:cs="仿宋_GB2312" w:eastAsia="仿宋_GB2312"/>
                      <w:sz w:val="22"/>
                      <w:color w:val="000000"/>
                    </w:rPr>
                    <w:t>等多种认证方式</w:t>
                  </w:r>
                  <w:r>
                    <w:rPr>
                      <w:rFonts w:ascii="仿宋_GB2312" w:hAnsi="仿宋_GB2312" w:cs="仿宋_GB2312" w:eastAsia="仿宋_GB2312"/>
                      <w:sz w:val="22"/>
                      <w:color w:val="000000"/>
                    </w:rPr>
                    <w:t>。</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应用管理</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不局限对网络应用的阻断，更能深入识别应用的内置动作</w:t>
                  </w:r>
                  <w:r>
                    <w:rPr>
                      <w:rFonts w:ascii="仿宋_GB2312" w:hAnsi="仿宋_GB2312" w:cs="仿宋_GB2312" w:eastAsia="仿宋_GB2312"/>
                      <w:sz w:val="22"/>
                      <w:color w:val="000000"/>
                    </w:rPr>
                    <w:t>，</w:t>
                  </w:r>
                  <w:r>
                    <w:rPr>
                      <w:rFonts w:ascii="仿宋_GB2312" w:hAnsi="仿宋_GB2312" w:cs="仿宋_GB2312" w:eastAsia="仿宋_GB2312"/>
                      <w:sz w:val="22"/>
                      <w:color w:val="000000"/>
                    </w:rPr>
                    <w:t>更可识别到</w:t>
                  </w:r>
                  <w:r>
                    <w:rPr>
                      <w:rFonts w:ascii="仿宋_GB2312" w:hAnsi="仿宋_GB2312" w:cs="仿宋_GB2312" w:eastAsia="仿宋_GB2312"/>
                      <w:sz w:val="22"/>
                      <w:color w:val="000000"/>
                    </w:rPr>
                    <w:t>如</w:t>
                  </w:r>
                  <w:r>
                    <w:rPr>
                      <w:rFonts w:ascii="仿宋_GB2312" w:hAnsi="仿宋_GB2312" w:cs="仿宋_GB2312" w:eastAsia="仿宋_GB2312"/>
                      <w:sz w:val="22"/>
                      <w:color w:val="000000"/>
                    </w:rPr>
                    <w:t>“收文件”、“发文件”、“收消息”、“发消息”、“注销”、“语音”“所有动作”等精细化动作，通过对应用的更精细化管理让网络更有序。</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事后审计</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支持详细、清晰、易用的日志特性，全面记录审计用户上网行为、使用流量、访问网站、所用终端系统及设备类型平台等信息；日志支持定制化过滤器，可根据</w:t>
                  </w:r>
                  <w:r>
                    <w:rPr>
                      <w:rFonts w:ascii="仿宋_GB2312" w:hAnsi="仿宋_GB2312" w:cs="仿宋_GB2312" w:eastAsia="仿宋_GB2312"/>
                      <w:sz w:val="22"/>
                      <w:color w:val="000000"/>
                    </w:rPr>
                    <w:t>IP地址、认证用户、访问应用、访问URL、发帖内容等要素进行搜索</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三、服务要求</w:t>
            </w:r>
          </w:p>
          <w:p>
            <w:pPr>
              <w:pStyle w:val="null3"/>
              <w:jc w:val="both"/>
            </w:pPr>
            <w:r>
              <w:rPr>
                <w:rFonts w:ascii="仿宋_GB2312" w:hAnsi="仿宋_GB2312" w:cs="仿宋_GB2312" w:eastAsia="仿宋_GB2312"/>
                <w:sz w:val="28"/>
              </w:rPr>
              <w:t>3.1提供本地化服务，不少于2名专职工程师，1部专用工程车辆；</w:t>
            </w:r>
          </w:p>
          <w:p>
            <w:pPr>
              <w:pStyle w:val="null3"/>
              <w:jc w:val="both"/>
            </w:pPr>
            <w:r>
              <w:rPr>
                <w:rFonts w:ascii="仿宋_GB2312" w:hAnsi="仿宋_GB2312" w:cs="仿宋_GB2312" w:eastAsia="仿宋_GB2312"/>
                <w:sz w:val="28"/>
              </w:rPr>
              <w:t>3.2网络链路及设备月度可用性不低于95%；</w:t>
            </w:r>
          </w:p>
          <w:p>
            <w:pPr>
              <w:pStyle w:val="null3"/>
              <w:jc w:val="both"/>
            </w:pPr>
            <w:r>
              <w:rPr>
                <w:rFonts w:ascii="仿宋_GB2312" w:hAnsi="仿宋_GB2312" w:cs="仿宋_GB2312" w:eastAsia="仿宋_GB2312"/>
                <w:sz w:val="28"/>
              </w:rPr>
              <w:t>3.3单次故障响应时间不超过30分钟，单次故障排除时间不超过4小时；免费提供不低于维护设备总量10%的备品备件；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（1）保障措施①　强化安全底座，夯实网络基础。根据省市有关电子政务网络建设相关要求，建设统一的电子政务外网运维管理平台，实现对电子政务外网的全面监控和管理，确保政务信息系统的正常运行和信息安全②　加强网络安全管理，统筹做好网络安全防护。切实强化在防篡改、防病毒、防攻击、防瘫痪、防泄密等方面有效性。定期对机房服务器、防火墙、信息系统运行情况、政务服务网络线路等进行全面检查，排查风险隐患，堵塞安全漏洞。严禁访问非法网站，严格控制和阻断病毒来源，对重要文件、信息资源及时备份。③　完善应急处置，强化关键信息基础设施安全保障。建立应急预案，制定网络安全管理相关制度，形成制度与技术双保障，切实做好网络安全事件应急处置准备工作，做到在发生网络安全事件后发现迅速、处置有力。健全管理体系，全面实行24小时值班值守制度、重大节假日领导带班制度、保持通信联络畅通，确保全局网络信息数据安全。（2）预期效益项目交付后，确保全区各单位具备了电子政务网互联互通、统一互联网出口、统一网络安全管控等基础能力，实现鄠邑区电子政务网络安全防护能力提升、统一安全运维，为鄠邑区电子政务网络稳定运行夯实基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（1）保障措施①　强化安全底座，夯实网络基础。根据省市有关电子政务网络建设相关要求，建设统一的电子政务外网运维管理平台，实现对电子政务外网的全面监控和管理，确保政务信息系统的正常运行和信息安全②　加强网络安全管理，统筹做好网络安全防护。切实强化在防篡改、防病毒、防攻击、防瘫痪、防泄密等方面有效性。定期对机房服务器、防火墙、信息系统运行情况、政务服务网络线路等进行全面检查，排查风险隐患，堵塞安全漏洞。严禁访问非法网站，严格控制和阻断病毒来源，对重要文件、信息资源及时备份。③　完善应急处置，强化关键信息基础设施安全保障。建立应急预案，制定网络安全管理相关制度，形成制度与技术双保障，切实做好网络安全事件应急处置准备工作，做到在发生网络安全事件后发现迅速、处置有力。健全管理体系，全面实行24小时值班值守制度、重大节假日领导带班制度、保持通信联络畅通，确保全局网络信息数据安全。（2）预期效益项目交付后，确保全区各单位具备了电子政务网互联互通、统一互联网出口、统一网络安全管控等基础能力，实现鄠邑区电子政务网络安全防护能力提升、统一安全运维，为鄠邑区电子政务网络稳定运行夯实基础。</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西安市鄠邑区中心机房至延伸至全区各党政机关及街道办事处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西安市鄠邑区中心机房至延伸至全区各党政机关及街道办事处</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（1）成果交付要求 每季度进行服务质量考核，考核指标包括网络畅通率、设备完好率、运维响应、故障处置、接入单位反馈等，考核分数大于95分的，支付全部服务费用；小于95分大于等于65分的，结算当年70%服务费用（即按比例扣除30%）；低于65分的扣除当年全部服务费用。 （2）质量验收标准或规范 根据每季度中标方传输网络巡检保障服务、网络接入技术支持服务、互联网接入服务等巡检报告进行抽检。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（1）成果交付要求 每季度进行服务质量考核，考核指标包括网络畅通率、设备完好率、运维响应、故障处置、接入单位反馈等，考核分数大于95分的，支付全部服务费用；小于95分大于等于65分的，结算当年70%服务费用（即按比例扣除30%）；低于65分的扣除当年全部服务费用。 （2）质量验收标准或规范 根据每季度中标方传输网络巡检保障服务、传输设备维保服务、网络接入技术支持服务、数据备份服务、上网行为审计服务等巡检报告进行抽检。</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成果交付验收达标后，于当年第四季度内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成果交付验收达标后，于当年第四季度内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（1）违约责任：扣除中标方维保费用。 （2）争议解决途径：向西安仲裁委员会提请仲裁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（1）违约责任：扣除中标方维保费用。 （2）争议解决途径：向西安仲裁委员会提请仲裁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根据《政府购买服务管理办法》（财政部令第102号）第二十四条“政府购买服务合同履行期限一般不超过1年；在预算保障的前提下，对于购买内容相对固定、连续性强、经费来源稳定、价格变化幅度小的政府购买服务项目，可以签订履行期限不超过3年的政府购买服务合同。”本项目服务到期前，采购人按照当年下达的政府采购预算金额，对供应商服务质量进行综合评定，评定结果为满足采购人服务要求的，采购人与原供应商续签合同，一年一签，续签两年。 3.4.2本次采购、响应报价、评审和合同授予均以合同包（标段）为单位，响应供应商必须就一个完整的合同包（标段）进行响应。允许一家供应商同时报名参加多个合同包（标段）投标响应，但不允许同一家响应供应商同时中标本项目多个合同包（标段），中标优先顺序为：第一标段＞第二标段。成交供应商与采购人在成交通知书发出30天内签订合同，不及时签订视为自动放弃。本项目不允许中标后另行转包或者分包。成交供应商无正当理由不得放弃中标。因自身原因拒绝签订政府采购合同的或者未按合同约定进行履约的，成交供应商不得参加对该项目重新开展的采购活动。 3.4.3响应文件中要求加盖单位公章及法定代表人章的地方可使用电子印章，要求签字的地方需经手签、扫描后加入响应文件内，并生成响应文件。 3.4.4响应过程中无须提供纸质版，仅成交单位须提供纸质版。请成交单位在领取成交通知书前将纸质版响应文件正本1份、副本2份打印盖章后提交至采购代理公司处，以便采购人进行留存备案等工作，成交单位应保持响应文件纸质版内容与电子版内容完全一致，否则将承担一切法律责任。 3.4.5根据采购文件相应条款对采购文件所作的澄清、修改、答疑等构成采购文件的组成部分。 3.4.6本项目采购活动执行下列政府采购政策：3.4.6.1 《政府采购促进中小企业发展管理办法》的通知-（财库〔2020〕46号）; 3.4.6.2 《财政部 司法部关于政府采购支持监狱企业发展有关问题的通知》-（财库〔2014〕68号）; 3.4.6.3 《国务院办公厅关于建立政府强制采购节能产品制度的通知》-（国办发〔2007〕51号）; 3.4.6.4 《财政部 发展改革委 生态环境部 市场监管总局关于调整优化节能产品、环境标志产品政府采购执行机制的通知》-（财库〔2019〕9号）； 3.4.6.5 《关于印发环境标志产品政府采购品目清单的通知》-（财库〔2019〕18号）； 3.4.6.6 《关于印发节能产品政府采购品目清单的通知》-（财库〔2019〕19号）； 3.4.6.7 《财政部 民政部 中国残疾人联合会关于促进残疾人就业政府采购政策的通知》-（财库〔2017〕141号）； 3.4.6.8 《关于运用政府采购政策支持乡村产业振兴的通知》-（财库〔2021〕19号）； 3.4.6.9 《关于进一步加大政府采购支持中小企业力度的通知》（财库〔2022〕19号）； 3.4.6.10 《陕西省财政厅关于印发&lt;陕西省中小企业政府采购信用融资办法&gt;的通知》-（陕财办采〔2018〕23号）； 3.4.6.11 《陕西省财政厅关于加快推进我省中小企业政府采购信用融资工作的通知》-（陕财办采〔2020〕15号）； 3.4.6.12 《陕西省财政厅关于进一步加强政府绿色采购有关问题的通知》-（陕财办采〔2021〕29号）； 3.4.6.13 《陕西省财政厅、中国人民银行西安分行关于深入推进政府采购信用融资业务的通知》-（陕财办采〔2023〕5号）； 3.4.6.14其他需要落实的政府采购政策。 3.4.7本项目非专门面向中小企业采购。 3.4.8本采购文件未明确的其他事项，按照有关法律、法规或省市有关规定执行。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供应商需在项目电子化交易系统中按要求填写《投标函》完成承诺，上传磋商文件要求的证明文件并进行电子签章。</w:t>
            </w:r>
          </w:p>
        </w:tc>
        <w:tc>
          <w:tcPr>
            <w:tcW w:type="dxa" w:w="1661"/>
          </w:tcPr>
          <w:p>
            <w:pPr>
              <w:pStyle w:val="null3"/>
            </w:pPr>
            <w:r>
              <w:rPr>
                <w:rFonts w:ascii="仿宋_GB2312" w:hAnsi="仿宋_GB2312" w:cs="仿宋_GB2312" w:eastAsia="仿宋_GB2312"/>
              </w:rPr>
              <w:t>供应商应提交的相关资格证明材料（详细要求）.docx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供应商应提交的相关资格证明材料（详细要求）.docx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供应商应提交的相关资格证明材料（详细要求）.docx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供应商需在项目电子化交易系统中按要求填写《投标函》完成承诺，上传磋商文件要求的证明文件并进行电子签章。</w:t>
            </w:r>
          </w:p>
        </w:tc>
        <w:tc>
          <w:tcPr>
            <w:tcW w:type="dxa" w:w="1661"/>
          </w:tcPr>
          <w:p>
            <w:pPr>
              <w:pStyle w:val="null3"/>
            </w:pPr>
            <w:r>
              <w:rPr>
                <w:rFonts w:ascii="仿宋_GB2312" w:hAnsi="仿宋_GB2312" w:cs="仿宋_GB2312" w:eastAsia="仿宋_GB2312"/>
              </w:rPr>
              <w:t>供应商应提交的相关资格证明材料（详细要求）.docx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供应商应提交的相关资格证明材料（详细要求）.docx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供应商应提交的相关资格证明材料（详细要求）.docx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供应商具备独立承担民事责任的能力</w:t>
            </w:r>
          </w:p>
        </w:tc>
        <w:tc>
          <w:tcPr>
            <w:tcW w:type="dxa" w:w="3322"/>
          </w:tcPr>
          <w:p>
            <w:pPr>
              <w:pStyle w:val="null3"/>
            </w:pPr>
            <w:r>
              <w:rPr>
                <w:rFonts w:ascii="仿宋_GB2312" w:hAnsi="仿宋_GB2312" w:cs="仿宋_GB2312" w:eastAsia="仿宋_GB2312"/>
              </w:rPr>
              <w:t>在中华人民共和国境内合法注册的法人应提供营业执照(或事业法人证)、组织机构代码证、税务登记证或具有统一社会信用代码的营业执照，其他组织应提供合法证明文件，自然人提供身份证件。</w:t>
            </w:r>
          </w:p>
        </w:tc>
        <w:tc>
          <w:tcPr>
            <w:tcW w:type="dxa" w:w="1661"/>
          </w:tcPr>
          <w:p>
            <w:pPr>
              <w:pStyle w:val="null3"/>
            </w:pPr>
            <w:r>
              <w:rPr>
                <w:rFonts w:ascii="仿宋_GB2312" w:hAnsi="仿宋_GB2312" w:cs="仿宋_GB2312" w:eastAsia="仿宋_GB2312"/>
              </w:rPr>
              <w:t>供应商应提交的相关资格证明材料（详细要求）.docx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(1)供应商须提供参加政府采购活动前三年内，在经营活动中没有重大违法记录的书面声明；(2)供应商须提供具有履行本合同所必需的设备和专业技术能力的声明。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供应商应提交的相关资格证明材料（详细要求）.docx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供应商应提交的相关资格证明材料（详细要求）.docx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信用记录网站查询</w:t>
            </w:r>
          </w:p>
        </w:tc>
        <w:tc>
          <w:tcPr>
            <w:tcW w:type="dxa" w:w="3322"/>
          </w:tcPr>
          <w:p>
            <w:pPr>
              <w:pStyle w:val="null3"/>
            </w:pPr>
            <w:r>
              <w:rPr>
                <w:rFonts w:ascii="仿宋_GB2312" w:hAnsi="仿宋_GB2312" w:cs="仿宋_GB2312" w:eastAsia="仿宋_GB2312"/>
              </w:rPr>
              <w:t>截止至响应文件递交截止时间之前，供应商未被列入“信用中国”（https://www.creditchina.gov.cn/）网站严重失信主体名单，未被列入“中国政府采购网”（http://www.ccgp.gov.cn/）网站政府采购严重违法失信行为记录名单。</w:t>
            </w:r>
          </w:p>
        </w:tc>
        <w:tc>
          <w:tcPr>
            <w:tcW w:type="dxa" w:w="1661"/>
          </w:tcPr>
          <w:p>
            <w:pPr>
              <w:pStyle w:val="null3"/>
            </w:pPr>
            <w:r>
              <w:rPr>
                <w:rFonts w:ascii="仿宋_GB2312" w:hAnsi="仿宋_GB2312" w:cs="仿宋_GB2312" w:eastAsia="仿宋_GB2312"/>
              </w:rPr>
              <w:t>响应函 供应商应提交的相关资格证明材料（详细要求）.docx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供应商企业关系关联</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供应商应提交的相关资格证明材料（详细要求）.docx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响应函 供应商应提交的相关资格证明材料（详细要求）.docx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供应商具备独立承担民事责任的能力</w:t>
            </w:r>
          </w:p>
        </w:tc>
        <w:tc>
          <w:tcPr>
            <w:tcW w:type="dxa" w:w="3322"/>
          </w:tcPr>
          <w:p>
            <w:pPr>
              <w:pStyle w:val="null3"/>
            </w:pPr>
            <w:r>
              <w:rPr>
                <w:rFonts w:ascii="仿宋_GB2312" w:hAnsi="仿宋_GB2312" w:cs="仿宋_GB2312" w:eastAsia="仿宋_GB2312"/>
              </w:rPr>
              <w:t>在中华人民共和国境内合法注册的法人应提供营业执照(或事业法人证)、组织机构代码证、税务登记证或具有统一社会信用代码的营业执照，其他组织应提供合法证明文件，自然人提供身份证件。</w:t>
            </w:r>
          </w:p>
        </w:tc>
        <w:tc>
          <w:tcPr>
            <w:tcW w:type="dxa" w:w="1661"/>
          </w:tcPr>
          <w:p>
            <w:pPr>
              <w:pStyle w:val="null3"/>
            </w:pPr>
            <w:r>
              <w:rPr>
                <w:rFonts w:ascii="仿宋_GB2312" w:hAnsi="仿宋_GB2312" w:cs="仿宋_GB2312" w:eastAsia="仿宋_GB2312"/>
              </w:rPr>
              <w:t>响应函 供应商应提交的相关资格证明材料（详细要求）.docx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(1)供应商须提供参加政府采购活动前三年内，在经营活动中没有重大违法记录的书面声明；(2)供应商须提供具有履行本合同所必需的设备和专业技术能力的声明。</w:t>
            </w:r>
          </w:p>
        </w:tc>
        <w:tc>
          <w:tcPr>
            <w:tcW w:type="dxa" w:w="1661"/>
          </w:tcPr>
          <w:p>
            <w:pPr>
              <w:pStyle w:val="null3"/>
            </w:pPr>
            <w:r>
              <w:rPr>
                <w:rFonts w:ascii="仿宋_GB2312" w:hAnsi="仿宋_GB2312" w:cs="仿宋_GB2312" w:eastAsia="仿宋_GB2312"/>
              </w:rPr>
              <w:t>响应函 供应商应提交的相关资格证明材料（详细要求）.docx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响应函 供应商应提交的相关资格证明材料（详细要求）.docx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信用记录网站查询</w:t>
            </w:r>
          </w:p>
        </w:tc>
        <w:tc>
          <w:tcPr>
            <w:tcW w:type="dxa" w:w="3322"/>
          </w:tcPr>
          <w:p>
            <w:pPr>
              <w:pStyle w:val="null3"/>
            </w:pPr>
            <w:r>
              <w:rPr>
                <w:rFonts w:ascii="仿宋_GB2312" w:hAnsi="仿宋_GB2312" w:cs="仿宋_GB2312" w:eastAsia="仿宋_GB2312"/>
              </w:rPr>
              <w:t>截止至响应文件递交截止时间之前，供应商未被列入“信用中国”（https://www.creditchina.gov.cn/）网站严重失信主体名单，未被列入“中国政府采购网”（http://www.ccgp.gov.cn/）网站政府采购严重违法失信行为记录名单。</w:t>
            </w:r>
          </w:p>
        </w:tc>
        <w:tc>
          <w:tcPr>
            <w:tcW w:type="dxa" w:w="1661"/>
          </w:tcPr>
          <w:p>
            <w:pPr>
              <w:pStyle w:val="null3"/>
            </w:pPr>
            <w:r>
              <w:rPr>
                <w:rFonts w:ascii="仿宋_GB2312" w:hAnsi="仿宋_GB2312" w:cs="仿宋_GB2312" w:eastAsia="仿宋_GB2312"/>
              </w:rPr>
              <w:t>供应商应提交的相关资格证明材料（详细要求）.docx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供应商企业关系关联</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响应函 供应商应提交的相关资格证明材料（详细要求）.docx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响应函 供应商应提交的相关资格证明材料（详细要求）.docx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服务内容及服务邀请应答表 中小企业声明函 商务应答表 报价表 磋商方案说明书.docx 供应商应提交的相关资格证明材料（详细要求）.docx 响应文件封面 残疾人福利性单位声明函 标的清单 其他资料.docx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服务内容及服务邀请应答表 中小企业声明函 商务应答表 报价表 磋商方案说明书.docx 供应商应提交的相关资格证明材料（详细要求）.docx 响应文件封面 残疾人福利性单位声明函 标的清单 其他资料.docx 响应函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服务内容及服务邀请应答表 中小企业声明函 商务应答表 报价表 磋商方案说明书.docx 供应商应提交的相关资格证明材料（详细要求）.docx 响应文件封面 残疾人福利性单位声明函 标的清单 其他资料.docx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服务内容及服务邀请应答表 中小企业声明函 商务应答表 报价表 磋商方案说明书.docx 供应商应提交的相关资格证明材料（详细要求）.docx 响应文件封面 残疾人福利性单位声明函 标的清单 其他资料.docx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合理,系统功能齐全，服务方案可靠、明确，具有完善的维护升级、人员培训方案、针对本项目具有完善的实施方案。方案详细、科学合理，针对性强得[14-20]分；方案较为详细、较为科学合理，可行性一般得[7-14）分；方案不详细、不合理，可行性低得[1-7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技术力量配备</w:t>
            </w:r>
          </w:p>
        </w:tc>
        <w:tc>
          <w:tcPr>
            <w:tcW w:type="dxa" w:w="2492"/>
          </w:tcPr>
          <w:p>
            <w:pPr>
              <w:pStyle w:val="null3"/>
            </w:pPr>
            <w:r>
              <w:rPr>
                <w:rFonts w:ascii="仿宋_GB2312" w:hAnsi="仿宋_GB2312" w:cs="仿宋_GB2312" w:eastAsia="仿宋_GB2312"/>
              </w:rPr>
              <w:t>技术力量配备，拟投入的人员情况、实施时间和人员内容安排考虑周全，科学合理。安排考虑周全，科学合理得[10-15]分；安排较周全，较合理得[5-10）分；安排不周全，不合理得[1-5）分。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根据服务内容和服务要求提供质量保证措施：措施周全、合理、可行性强得[4-5]分；措施较周全、较合理、可行性一般得[2-4）分；措施不周全、不合理、可行性低得[1-2）分。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针对本项目制定详细可行的重难点分析及解决措施。措施周全、合理、可行性强得[4-5]分；措施较周全、较合理、可行性一般得[2-4）分；措施不周全、不合理、可行性低得[1-2）分。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信息安全</w:t>
            </w:r>
          </w:p>
        </w:tc>
        <w:tc>
          <w:tcPr>
            <w:tcW w:type="dxa" w:w="2492"/>
          </w:tcPr>
          <w:p>
            <w:pPr>
              <w:pStyle w:val="null3"/>
            </w:pPr>
            <w:r>
              <w:rPr>
                <w:rFonts w:ascii="仿宋_GB2312" w:hAnsi="仿宋_GB2312" w:cs="仿宋_GB2312" w:eastAsia="仿宋_GB2312"/>
              </w:rPr>
              <w:t>提供针对本项目的信息安全方案。信息安全方案详细全面，预期能够实现良好的项目实施效果，完全能保证服务质量。方案详细、科学合理，针对性强得[7-10]分；方案较为详细、较为科学合理，可行性一般得[3-7）分；方案不详细、不合理，可行性低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售后服务及承诺：供应商对本项目提供的服务具有相应的承诺及具体措施，具有专业队伍和技术人员支持，提供售后服务。根据售后服务机构（规模、分布情况、机构运行情况），针对本项目及采购人实际需求，提供详细具体可行的服务措施承诺。结合各供应商的响应承诺情况及售后服务的协调性、及时性和响应承诺情况赋分。承诺全面、详实，合理性高得[7-10]分；承诺较为详实全面，合理性较高得[3-7）分；承诺不全面，合理性低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具有相应的保障措施确保系统正常运转，有详细的在系统发生不同类型故障后到达现场的时间、解决故障时间、补救措施等方面的措施或方案；措施或方案周全、合理、可行性强得[4-5]分；措施或方案较周全、较合理、可行性一般得[2-4）分；措施或方案不周全、不合理、可行性低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针对本项目具有可行的技术培训方案，培训内容应包括系统操作、排除简单故障等各个方面，确保培训后的人员应能熟练操作； 能排除一般故障的计[3-5]分； 培训方案简单，提供培训大纲和培训内容的计[1-3)分。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供应商提供近三年（2022年1月1日至今）类似项目业绩，每提供 1 份得5分，最高得15分，未提供不计分。注：（1）业绩证明材料以中标通知书或合同协议书的扫描件为准，并加盖单位公章。 （2）业绩时间以中标通知书的落款时间或合同协议书的签订时间为准。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1.经初审合格的磋商文件，其最终报价为有效报价。对符合政策性扣减的有效磋商报价进行政策性扣减，并依据扣减后的价格（评审价格）进行价格评审。 2.满足磋商文件要求且最终报价最低的供应商的价格为磋商基准价，其价格分为满分。其他供应商的价格分按照下列公式计算： 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合理,系统功能齐全，服务方案可靠、明确，具有完善的维护升级、人员培训方案、针对本项目具有完善的实施方案。方案详细、科学合理，针对性强得[14-20]分；方案较为详细、较为科学合理，可行性一般得[7-14）分；方案不详细、不合理，可行性低得[1-7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技术力量配备</w:t>
            </w:r>
          </w:p>
        </w:tc>
        <w:tc>
          <w:tcPr>
            <w:tcW w:type="dxa" w:w="2492"/>
          </w:tcPr>
          <w:p>
            <w:pPr>
              <w:pStyle w:val="null3"/>
            </w:pPr>
            <w:r>
              <w:rPr>
                <w:rFonts w:ascii="仿宋_GB2312" w:hAnsi="仿宋_GB2312" w:cs="仿宋_GB2312" w:eastAsia="仿宋_GB2312"/>
              </w:rPr>
              <w:t>技术力量配备，拟投入的人员情况、实施时间和人员内容安排考虑周全，科学合理。安排考虑周全，科学合理得[10-15]分；安排较周全，较合理得[5-10）分；安排不周全，不合理得[1-5）分。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根据服务内容和服务要求提供质量保证措施：措施周全、合理、可行性强得[4-5]分；措施较周全、较合理、可行性一般得[2-4）分；措施不周全、不合理、可行性低得[1-2）分。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针对本项目制定详细可行的重难点分析及解决措施。措施周全、合理、可行性强得[4-5]分；措施较周全、较合理、可行性一般得[2-4）分；措施不周全、不合理、可行性低得[1-2）分。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信息安全</w:t>
            </w:r>
          </w:p>
        </w:tc>
        <w:tc>
          <w:tcPr>
            <w:tcW w:type="dxa" w:w="2492"/>
          </w:tcPr>
          <w:p>
            <w:pPr>
              <w:pStyle w:val="null3"/>
            </w:pPr>
            <w:r>
              <w:rPr>
                <w:rFonts w:ascii="仿宋_GB2312" w:hAnsi="仿宋_GB2312" w:cs="仿宋_GB2312" w:eastAsia="仿宋_GB2312"/>
              </w:rPr>
              <w:t>提供针对本项目的信息安全方案。信息安全方案详细全面，预期能够实现良好的项目实施效果，完全能保证服务质量。方案详细、科学合理，针对性强得[7-10]分；方案较为详细、较为科学合理，可行性一般得[3-7）分；方案不详细、不合理，可行性低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售后服务及承诺：供应商对本项目提供的服务具有相应的承诺及具体措施，具有专业队伍和技术人员支持，提供售后服务。根据售后服务机构（规模、分布情况、机构运行情况），针对本项目及采购人实际需求，提供详细具体可行的服务措施承诺。结合各供应商的响应承诺情况及售后服务的协调性、及时性和响应承诺情况赋分。承诺全面、详实，合理性高得[7-10]分；承诺较为详实全面，合理性较高得[3-7）分；承诺不全面，合理性低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具有相应的保障措施确保系统正常运转，有详细的在系统发生不同类型故障后到达现场的时间、解决故障时间、补救措施等方面的措施或方案；措施或方案周全、合理、可行性强得[4-5]分；措施或方案较周全、较合理、可行性一般得[2-4）分；措施或方案不周全、不合理、可行性低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针对本项目具有可行的技术培训方案，培训内容应包括系统操作、排除简单故障等各个方面，确保培训后的人员应能熟练操作； 能排除一般故障的计[3-5]分； 培训方案简单，提供培训大纲和培训内容的计[1-3)分。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供应商提供近三年（2022年1月1日至今）类似项目业绩，每提供 1 份得5分，最高得15分，未提供不计分。注：（1）业绩证明材料以中标通知书或合同协议书的扫描件为准，并加盖单位公章。 （2）业绩时间以中标通知书的落款时间或合同协议书的签订时间为准。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1.经初审合格的磋商文件，其最终报价为有效报价。对符合政策性扣减的有效磋商报价进行政策性扣减，并依据扣减后的价格（评审价格）进行价格评审。 2.满足磋商文件要求且最终报价最低的供应商的价格为磋商基准价，其价格分为满分。其他供应商的价格分按照下列公式计算： 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 报价表</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详见附件：供应商应提交的相关资格证明材料（详细要求）.docx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详见附件：供应商应提交的相关资格证明材料（详细要求）.docx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详见附件：合同条款及格式（鄠邑区）.docx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