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AD876">
      <w:pPr>
        <w:pStyle w:val="3"/>
        <w:jc w:val="center"/>
        <w:rPr>
          <w:color w:val="auto"/>
        </w:rPr>
      </w:pPr>
    </w:p>
    <w:p w14:paraId="445A87F3">
      <w:pPr>
        <w:pStyle w:val="3"/>
        <w:jc w:val="center"/>
        <w:rPr>
          <w:color w:val="auto"/>
        </w:rPr>
      </w:pPr>
    </w:p>
    <w:p w14:paraId="12D978DA">
      <w:pPr>
        <w:pStyle w:val="3"/>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乡村振兴大数据平台[原西安市鄠邑区防止返贫监测预警平台</w:t>
      </w:r>
      <w:r>
        <w:rPr>
          <w:rFonts w:hint="eastAsia" w:ascii="方正小标宋简体" w:hAnsi="方正小标宋简体" w:eastAsia="方正小标宋简体" w:cs="方正小标宋简体"/>
          <w:color w:val="auto"/>
          <w:sz w:val="44"/>
          <w:szCs w:val="44"/>
          <w:lang w:val="en-US" w:eastAsia="zh-CN"/>
        </w:rPr>
        <w:t>软件服务及配套项目</w:t>
      </w:r>
      <w:r>
        <w:rPr>
          <w:rFonts w:hint="eastAsia" w:ascii="方正小标宋简体" w:hAnsi="方正小标宋简体" w:eastAsia="方正小标宋简体" w:cs="方正小标宋简体"/>
          <w:color w:val="auto"/>
          <w:sz w:val="44"/>
          <w:szCs w:val="44"/>
        </w:rPr>
        <w:t>]</w:t>
      </w:r>
    </w:p>
    <w:p w14:paraId="0B845BEB">
      <w:pPr>
        <w:pStyle w:val="3"/>
        <w:jc w:val="center"/>
        <w:rPr>
          <w:color w:val="auto"/>
        </w:rPr>
      </w:pPr>
      <w:r>
        <w:rPr>
          <w:rFonts w:hint="eastAsia" w:ascii="方正小标宋简体" w:hAnsi="方正小标宋简体" w:eastAsia="方正小标宋简体" w:cs="方正小标宋简体"/>
          <w:color w:val="auto"/>
          <w:sz w:val="44"/>
          <w:szCs w:val="44"/>
        </w:rPr>
        <w:t>监测网络服务费项目</w:t>
      </w:r>
    </w:p>
    <w:p w14:paraId="592AC09C">
      <w:pPr>
        <w:rPr>
          <w:color w:val="auto"/>
        </w:rPr>
      </w:pPr>
    </w:p>
    <w:p w14:paraId="3F79E352">
      <w:pPr>
        <w:pStyle w:val="2"/>
        <w:rPr>
          <w:color w:val="auto"/>
        </w:rPr>
      </w:pPr>
    </w:p>
    <w:p w14:paraId="2DF5029A">
      <w:pPr>
        <w:rPr>
          <w:color w:val="auto"/>
        </w:rPr>
      </w:pPr>
    </w:p>
    <w:p w14:paraId="06AED006">
      <w:pPr>
        <w:pStyle w:val="2"/>
        <w:rPr>
          <w:color w:val="auto"/>
        </w:rPr>
      </w:pPr>
    </w:p>
    <w:p w14:paraId="61EDA34B">
      <w:pPr>
        <w:rPr>
          <w:color w:val="auto"/>
        </w:rPr>
      </w:pPr>
    </w:p>
    <w:p w14:paraId="01D009FF">
      <w:pPr>
        <w:pStyle w:val="2"/>
        <w:rPr>
          <w:color w:val="auto"/>
        </w:rPr>
      </w:pPr>
    </w:p>
    <w:p w14:paraId="76649C63">
      <w:pPr>
        <w:rPr>
          <w:color w:val="auto"/>
        </w:rPr>
      </w:pPr>
    </w:p>
    <w:p w14:paraId="3434CC5B">
      <w:pPr>
        <w:pStyle w:val="2"/>
        <w:rPr>
          <w:color w:val="auto"/>
        </w:rPr>
      </w:pPr>
    </w:p>
    <w:p w14:paraId="306CB5D1">
      <w:pPr>
        <w:rPr>
          <w:color w:val="auto"/>
        </w:rPr>
      </w:pPr>
    </w:p>
    <w:p w14:paraId="697962AF">
      <w:pPr>
        <w:pStyle w:val="2"/>
        <w:rPr>
          <w:color w:val="auto"/>
        </w:rPr>
      </w:pPr>
    </w:p>
    <w:p w14:paraId="4E9F3AD2">
      <w:pPr>
        <w:rPr>
          <w:color w:val="auto"/>
        </w:rPr>
      </w:pPr>
    </w:p>
    <w:p w14:paraId="0E216A21">
      <w:pPr>
        <w:pStyle w:val="2"/>
        <w:rPr>
          <w:color w:val="auto"/>
        </w:rPr>
      </w:pPr>
    </w:p>
    <w:p w14:paraId="5121D221">
      <w:pPr>
        <w:rPr>
          <w:color w:val="auto"/>
        </w:rPr>
      </w:pPr>
    </w:p>
    <w:p w14:paraId="3A180653">
      <w:pPr>
        <w:pStyle w:val="2"/>
        <w:rPr>
          <w:color w:val="auto"/>
        </w:rPr>
      </w:pPr>
    </w:p>
    <w:p w14:paraId="62178284">
      <w:pPr>
        <w:rPr>
          <w:b/>
          <w:color w:val="auto"/>
          <w:kern w:val="44"/>
          <w:sz w:val="32"/>
          <w:szCs w:val="32"/>
        </w:rPr>
      </w:pPr>
    </w:p>
    <w:p w14:paraId="135E137B">
      <w:pPr>
        <w:pStyle w:val="2"/>
        <w:rPr>
          <w:color w:val="auto"/>
        </w:rPr>
      </w:pPr>
    </w:p>
    <w:p w14:paraId="4E52D1FD">
      <w:pPr>
        <w:rPr>
          <w:color w:val="auto"/>
        </w:rPr>
      </w:pPr>
    </w:p>
    <w:p w14:paraId="2FAD200C">
      <w:pPr>
        <w:pStyle w:val="2"/>
        <w:rPr>
          <w:color w:val="auto"/>
        </w:rPr>
      </w:pPr>
    </w:p>
    <w:p w14:paraId="3A02D79B">
      <w:pPr>
        <w:rPr>
          <w:color w:val="auto"/>
        </w:rPr>
      </w:pPr>
    </w:p>
    <w:p w14:paraId="6C159DCD">
      <w:pPr>
        <w:pStyle w:val="2"/>
        <w:rPr>
          <w:color w:val="auto"/>
        </w:rPr>
      </w:pPr>
    </w:p>
    <w:p w14:paraId="4893B1B0">
      <w:pPr>
        <w:snapToGrid w:val="0"/>
        <w:spacing w:line="360" w:lineRule="auto"/>
        <w:rPr>
          <w:b/>
          <w:color w:val="auto"/>
          <w:kern w:val="44"/>
          <w:sz w:val="32"/>
          <w:szCs w:val="32"/>
        </w:rPr>
      </w:pPr>
    </w:p>
    <w:p w14:paraId="364FBA1C">
      <w:pPr>
        <w:snapToGrid w:val="0"/>
        <w:spacing w:line="360" w:lineRule="auto"/>
        <w:ind w:firstLine="643" w:firstLineChars="200"/>
        <w:rPr>
          <w:b/>
          <w:color w:val="auto"/>
          <w:kern w:val="44"/>
          <w:sz w:val="32"/>
          <w:szCs w:val="32"/>
        </w:rPr>
      </w:pPr>
      <w:r>
        <w:rPr>
          <w:rFonts w:hint="eastAsia"/>
          <w:b/>
          <w:color w:val="auto"/>
          <w:kern w:val="44"/>
          <w:sz w:val="32"/>
          <w:szCs w:val="32"/>
        </w:rPr>
        <w:t>甲方：西安市鄠邑区</w:t>
      </w:r>
      <w:r>
        <w:rPr>
          <w:rFonts w:hint="eastAsia"/>
          <w:b/>
          <w:color w:val="auto"/>
          <w:kern w:val="44"/>
          <w:sz w:val="32"/>
          <w:szCs w:val="32"/>
          <w:lang w:eastAsia="zh-CN"/>
        </w:rPr>
        <w:t>帮扶和农业信息服务中心</w:t>
      </w:r>
    </w:p>
    <w:p w14:paraId="37FF31C2">
      <w:pPr>
        <w:snapToGrid w:val="0"/>
        <w:spacing w:line="360" w:lineRule="auto"/>
        <w:ind w:firstLine="643" w:firstLineChars="200"/>
        <w:rPr>
          <w:b/>
          <w:color w:val="auto"/>
          <w:kern w:val="44"/>
          <w:sz w:val="32"/>
          <w:szCs w:val="32"/>
        </w:rPr>
      </w:pPr>
      <w:r>
        <w:rPr>
          <w:rFonts w:hint="eastAsia"/>
          <w:b/>
          <w:color w:val="auto"/>
          <w:kern w:val="44"/>
          <w:sz w:val="32"/>
          <w:szCs w:val="32"/>
        </w:rPr>
        <w:t>乙方：</w:t>
      </w:r>
    </w:p>
    <w:p w14:paraId="4849B383">
      <w:pPr>
        <w:pStyle w:val="2"/>
        <w:rPr>
          <w:color w:val="auto"/>
        </w:rPr>
      </w:pPr>
    </w:p>
    <w:p w14:paraId="5189ACFF">
      <w:pPr>
        <w:rPr>
          <w:color w:val="auto"/>
        </w:rPr>
      </w:pPr>
    </w:p>
    <w:p w14:paraId="69243207">
      <w:pPr>
        <w:pStyle w:val="2"/>
        <w:ind w:firstLine="0" w:firstLineChars="0"/>
        <w:rPr>
          <w:color w:val="auto"/>
          <w:sz w:val="44"/>
          <w:szCs w:val="44"/>
        </w:rPr>
        <w:sectPr>
          <w:pgSz w:w="11906" w:h="16838"/>
          <w:pgMar w:top="1440" w:right="1800" w:bottom="1440" w:left="1800" w:header="851" w:footer="992" w:gutter="0"/>
          <w:cols w:space="425" w:num="1"/>
          <w:docGrid w:type="lines" w:linePitch="312" w:charSpace="0"/>
        </w:sectPr>
      </w:pPr>
    </w:p>
    <w:p w14:paraId="109F9370">
      <w:pPr>
        <w:snapToGrid w:val="0"/>
        <w:spacing w:line="360" w:lineRule="auto"/>
        <w:ind w:firstLine="560" w:firstLineChars="200"/>
        <w:rPr>
          <w:rFonts w:ascii="宋体" w:hAnsi="宋体" w:cs="宋体"/>
          <w:color w:val="auto"/>
          <w:sz w:val="28"/>
          <w:szCs w:val="28"/>
          <w:u w:val="single"/>
        </w:rPr>
      </w:pPr>
      <w:r>
        <w:rPr>
          <w:rFonts w:hint="eastAsia" w:ascii="宋体" w:hAnsi="宋体" w:cs="宋体"/>
          <w:color w:val="auto"/>
          <w:sz w:val="28"/>
          <w:szCs w:val="28"/>
        </w:rPr>
        <w:t>根据《中华人民共和国民法典》及其他有关法律、法规，遵循平等、自愿、公平和诚信的原则，双方就下述项目范围与相关服务事项协商一致，订立本合同。</w:t>
      </w:r>
    </w:p>
    <w:p w14:paraId="3482B6BD">
      <w:pPr>
        <w:numPr>
          <w:ilvl w:val="0"/>
          <w:numId w:val="1"/>
        </w:numPr>
        <w:spacing w:line="360" w:lineRule="auto"/>
        <w:ind w:right="-2"/>
        <w:rPr>
          <w:rFonts w:ascii="宋体" w:hAnsi="宋体" w:cs="宋体"/>
          <w:b/>
          <w:color w:val="auto"/>
          <w:sz w:val="28"/>
          <w:szCs w:val="28"/>
        </w:rPr>
      </w:pPr>
      <w:r>
        <w:rPr>
          <w:rFonts w:hint="eastAsia" w:ascii="宋体" w:hAnsi="宋体" w:cs="宋体"/>
          <w:b/>
          <w:color w:val="auto"/>
          <w:sz w:val="28"/>
          <w:szCs w:val="28"/>
        </w:rPr>
        <w:t>项目概况</w:t>
      </w:r>
    </w:p>
    <w:p w14:paraId="08FA1382">
      <w:pPr>
        <w:spacing w:line="360" w:lineRule="auto"/>
        <w:ind w:right="-2" w:firstLine="560" w:firstLineChars="200"/>
        <w:rPr>
          <w:rFonts w:ascii="宋体" w:hAnsi="宋体" w:cs="宋体"/>
          <w:color w:val="auto"/>
          <w:sz w:val="48"/>
          <w:szCs w:val="48"/>
          <w:u w:val="single"/>
        </w:rPr>
      </w:pPr>
      <w:r>
        <w:rPr>
          <w:rFonts w:hint="eastAsia" w:ascii="宋体" w:hAnsi="宋体" w:cs="宋体"/>
          <w:color w:val="auto"/>
          <w:sz w:val="28"/>
          <w:szCs w:val="28"/>
        </w:rPr>
        <w:t xml:space="preserve">1. </w:t>
      </w:r>
      <w:r>
        <w:rPr>
          <w:rFonts w:hint="eastAsia" w:ascii="宋体" w:hAnsi="宋体" w:cs="宋体"/>
          <w:color w:val="auto"/>
          <w:sz w:val="28"/>
          <w:szCs w:val="28"/>
          <w:u w:val="single"/>
        </w:rPr>
        <w:t>项目名称：</w:t>
      </w:r>
      <w:r>
        <w:rPr>
          <w:rFonts w:hint="eastAsia" w:ascii="宋体" w:hAnsi="宋体" w:eastAsia="宋体" w:cs="宋体"/>
          <w:color w:val="auto"/>
          <w:sz w:val="28"/>
          <w:szCs w:val="28"/>
          <w:u w:val="single"/>
        </w:rPr>
        <w:t>乡村振兴大数据平台[原西安市鄠邑区防止返贫监测预警平台</w:t>
      </w:r>
      <w:r>
        <w:rPr>
          <w:rFonts w:hint="eastAsia" w:ascii="宋体" w:hAnsi="宋体" w:eastAsia="宋体" w:cs="宋体"/>
          <w:color w:val="auto"/>
          <w:sz w:val="28"/>
          <w:szCs w:val="28"/>
          <w:u w:val="single"/>
          <w:lang w:val="en-US" w:eastAsia="zh-CN"/>
        </w:rPr>
        <w:t>软件服务及配套项目</w:t>
      </w:r>
      <w:r>
        <w:rPr>
          <w:rFonts w:hint="eastAsia" w:ascii="宋体" w:hAnsi="宋体" w:eastAsia="宋体" w:cs="宋体"/>
          <w:color w:val="auto"/>
          <w:sz w:val="28"/>
          <w:szCs w:val="28"/>
          <w:u w:val="single"/>
        </w:rPr>
        <w:t>]监测网络服务费项目</w:t>
      </w:r>
    </w:p>
    <w:p w14:paraId="0BA62773">
      <w:pPr>
        <w:snapToGrid w:val="0"/>
        <w:spacing w:line="360" w:lineRule="auto"/>
        <w:ind w:firstLine="560" w:firstLineChars="200"/>
        <w:rPr>
          <w:rFonts w:ascii="宋体" w:hAnsi="宋体" w:cs="宋体"/>
          <w:b/>
          <w:color w:val="auto"/>
          <w:sz w:val="28"/>
          <w:szCs w:val="28"/>
        </w:rPr>
      </w:pPr>
      <w:r>
        <w:rPr>
          <w:rFonts w:hint="eastAsia" w:ascii="宋体" w:hAnsi="宋体" w:cs="宋体"/>
          <w:color w:val="auto"/>
          <w:sz w:val="28"/>
          <w:szCs w:val="28"/>
        </w:rPr>
        <w:t>2. 项目地点：</w:t>
      </w:r>
      <w:r>
        <w:rPr>
          <w:rFonts w:hint="eastAsia" w:ascii="宋体" w:hAnsi="宋体" w:cs="宋体"/>
          <w:color w:val="auto"/>
          <w:sz w:val="28"/>
          <w:szCs w:val="28"/>
          <w:u w:val="single"/>
        </w:rPr>
        <w:t>采购人指定地点（西安市鄠邑区）</w:t>
      </w:r>
    </w:p>
    <w:p w14:paraId="568FC6DC">
      <w:pPr>
        <w:spacing w:line="360" w:lineRule="auto"/>
        <w:rPr>
          <w:rFonts w:ascii="宋体" w:hAnsi="宋体" w:cs="宋体"/>
          <w:b/>
          <w:color w:val="auto"/>
          <w:sz w:val="28"/>
          <w:szCs w:val="28"/>
        </w:rPr>
      </w:pPr>
      <w:r>
        <w:rPr>
          <w:rFonts w:hint="eastAsia" w:ascii="宋体" w:hAnsi="宋体" w:cs="宋体"/>
          <w:b/>
          <w:color w:val="auto"/>
          <w:sz w:val="28"/>
          <w:szCs w:val="28"/>
        </w:rPr>
        <w:t>二、合同履行地点、合同服务期</w:t>
      </w:r>
    </w:p>
    <w:p w14:paraId="3FEE0C80">
      <w:pPr>
        <w:snapToGrid w:val="0"/>
        <w:spacing w:line="360" w:lineRule="auto"/>
        <w:ind w:firstLine="554"/>
        <w:rPr>
          <w:rFonts w:ascii="宋体" w:hAnsi="宋体" w:cs="宋体"/>
          <w:color w:val="auto"/>
          <w:sz w:val="28"/>
          <w:szCs w:val="28"/>
        </w:rPr>
      </w:pPr>
      <w:r>
        <w:rPr>
          <w:rFonts w:hint="eastAsia" w:ascii="宋体" w:hAnsi="宋体" w:cs="宋体"/>
          <w:color w:val="auto"/>
          <w:sz w:val="28"/>
          <w:szCs w:val="28"/>
        </w:rPr>
        <w:t>1、服务地点：西安市鄠邑区</w:t>
      </w:r>
    </w:p>
    <w:p w14:paraId="3898AE5A">
      <w:pPr>
        <w:snapToGrid w:val="0"/>
        <w:spacing w:line="360" w:lineRule="auto"/>
        <w:ind w:firstLine="560"/>
        <w:rPr>
          <w:rFonts w:ascii="宋体" w:hAnsi="宋体" w:cs="宋体"/>
          <w:color w:val="auto"/>
          <w:sz w:val="28"/>
          <w:szCs w:val="28"/>
        </w:rPr>
      </w:pPr>
      <w:r>
        <w:rPr>
          <w:rFonts w:hint="eastAsia" w:ascii="宋体" w:hAnsi="宋体" w:cs="宋体"/>
          <w:color w:val="auto"/>
          <w:sz w:val="28"/>
          <w:szCs w:val="28"/>
        </w:rPr>
        <w:t>2、合同服务期:本合同自合同签约后12个月。</w:t>
      </w:r>
    </w:p>
    <w:p w14:paraId="6007C08E">
      <w:pPr>
        <w:pStyle w:val="7"/>
        <w:spacing w:line="360" w:lineRule="auto"/>
        <w:rPr>
          <w:rFonts w:ascii="宋体" w:hAnsi="宋体" w:cs="宋体"/>
          <w:b/>
          <w:color w:val="auto"/>
          <w:sz w:val="28"/>
          <w:szCs w:val="28"/>
        </w:rPr>
      </w:pPr>
      <w:r>
        <w:rPr>
          <w:rFonts w:hint="eastAsia" w:ascii="宋体" w:hAnsi="宋体" w:cs="宋体"/>
          <w:b/>
          <w:color w:val="auto"/>
          <w:sz w:val="28"/>
          <w:szCs w:val="28"/>
        </w:rPr>
        <w:t>三、双方的权利和义务</w:t>
      </w:r>
    </w:p>
    <w:p w14:paraId="48D60147">
      <w:pPr>
        <w:numPr>
          <w:ilvl w:val="0"/>
          <w:numId w:val="2"/>
        </w:numPr>
        <w:spacing w:line="360" w:lineRule="auto"/>
        <w:ind w:firstLine="560"/>
        <w:rPr>
          <w:rFonts w:ascii="宋体" w:hAnsi="宋体" w:cs="宋体"/>
          <w:color w:val="auto"/>
          <w:sz w:val="28"/>
          <w:szCs w:val="28"/>
        </w:rPr>
      </w:pPr>
      <w:r>
        <w:rPr>
          <w:rFonts w:hint="eastAsia" w:ascii="宋体" w:hAnsi="宋体" w:cs="宋体"/>
          <w:color w:val="auto"/>
          <w:sz w:val="28"/>
          <w:szCs w:val="28"/>
        </w:rPr>
        <w:t>甲方的义务</w:t>
      </w:r>
    </w:p>
    <w:p w14:paraId="07E11A42">
      <w:pPr>
        <w:spacing w:line="360" w:lineRule="auto"/>
        <w:ind w:firstLine="560"/>
        <w:rPr>
          <w:rFonts w:ascii="宋体" w:hAnsi="宋体" w:cs="宋体"/>
          <w:color w:val="auto"/>
          <w:sz w:val="28"/>
          <w:szCs w:val="28"/>
        </w:rPr>
      </w:pPr>
      <w:r>
        <w:rPr>
          <w:rFonts w:ascii="宋体" w:hAnsi="宋体" w:cs="宋体"/>
          <w:color w:val="auto"/>
          <w:sz w:val="28"/>
          <w:szCs w:val="28"/>
        </w:rPr>
        <w:t>1.1</w:t>
      </w:r>
      <w:r>
        <w:rPr>
          <w:rFonts w:hint="eastAsia" w:ascii="宋体" w:hAnsi="宋体" w:cs="宋体"/>
          <w:color w:val="auto"/>
          <w:sz w:val="28"/>
          <w:szCs w:val="28"/>
        </w:rPr>
        <w:t>甲方委派</w:t>
      </w:r>
      <w:r>
        <w:rPr>
          <w:rFonts w:hint="eastAsia" w:ascii="宋体" w:hAnsi="宋体" w:cs="宋体"/>
          <w:color w:val="auto"/>
          <w:sz w:val="28"/>
          <w:szCs w:val="28"/>
          <w:lang w:val="en-US" w:eastAsia="zh-CN"/>
        </w:rPr>
        <w:t>[胡晓泊]</w:t>
      </w:r>
      <w:r>
        <w:rPr>
          <w:rFonts w:hint="eastAsia" w:ascii="宋体" w:hAnsi="宋体" w:cs="宋体"/>
          <w:color w:val="auto"/>
          <w:sz w:val="28"/>
          <w:szCs w:val="28"/>
        </w:rPr>
        <w:t>联系电话：</w:t>
      </w:r>
      <w:r>
        <w:rPr>
          <w:rFonts w:hint="eastAsia" w:ascii="宋体" w:hAnsi="宋体" w:cs="宋体"/>
          <w:color w:val="auto"/>
          <w:sz w:val="28"/>
          <w:szCs w:val="28"/>
          <w:lang w:val="en-US" w:eastAsia="zh-CN"/>
        </w:rPr>
        <w:t>[ 13720655499]</w:t>
      </w:r>
      <w:r>
        <w:rPr>
          <w:rFonts w:hint="eastAsia" w:ascii="宋体" w:hAnsi="宋体" w:cs="宋体"/>
          <w:color w:val="auto"/>
          <w:sz w:val="28"/>
          <w:szCs w:val="28"/>
        </w:rPr>
        <w:t>担任本项目负责人。</w:t>
      </w:r>
    </w:p>
    <w:p w14:paraId="2A173790">
      <w:pPr>
        <w:spacing w:line="360" w:lineRule="auto"/>
        <w:ind w:firstLine="560"/>
        <w:rPr>
          <w:rFonts w:ascii="宋体" w:hAnsi="宋体" w:cs="宋体"/>
          <w:color w:val="auto"/>
          <w:sz w:val="28"/>
          <w:szCs w:val="28"/>
        </w:rPr>
      </w:pPr>
      <w:r>
        <w:rPr>
          <w:rFonts w:hint="eastAsia" w:ascii="宋体" w:hAnsi="宋体" w:cs="宋体"/>
          <w:color w:val="auto"/>
          <w:sz w:val="28"/>
          <w:szCs w:val="28"/>
        </w:rPr>
        <w:t>1.2按合同的约定向乙方支付此项目所需的款项。</w:t>
      </w:r>
    </w:p>
    <w:p w14:paraId="6E56C469">
      <w:pPr>
        <w:spacing w:line="360" w:lineRule="auto"/>
        <w:ind w:firstLine="560"/>
        <w:rPr>
          <w:rFonts w:ascii="宋体" w:hAnsi="宋体" w:cs="宋体"/>
          <w:color w:val="auto"/>
          <w:sz w:val="28"/>
          <w:szCs w:val="28"/>
        </w:rPr>
      </w:pPr>
      <w:r>
        <w:rPr>
          <w:rFonts w:hint="eastAsia" w:ascii="宋体" w:hAnsi="宋体" w:cs="宋体"/>
          <w:color w:val="auto"/>
          <w:sz w:val="28"/>
          <w:szCs w:val="28"/>
        </w:rPr>
        <w:t>1.3按甲乙双方确认的项目推动计划安排乙方工作人员进入工作场地，如有需要甲方应提供乙方实施本项目所必备的工作条件和环境。</w:t>
      </w:r>
    </w:p>
    <w:p w14:paraId="43D647FF">
      <w:pPr>
        <w:numPr>
          <w:ilvl w:val="0"/>
          <w:numId w:val="3"/>
        </w:numPr>
        <w:spacing w:line="360" w:lineRule="auto"/>
        <w:ind w:firstLine="560"/>
        <w:rPr>
          <w:rFonts w:ascii="宋体" w:hAnsi="宋体" w:cs="宋体"/>
          <w:color w:val="auto"/>
          <w:sz w:val="28"/>
          <w:szCs w:val="28"/>
        </w:rPr>
      </w:pPr>
      <w:r>
        <w:rPr>
          <w:rFonts w:hint="eastAsia" w:ascii="宋体" w:hAnsi="宋体" w:cs="宋体"/>
          <w:color w:val="auto"/>
          <w:sz w:val="28"/>
          <w:szCs w:val="28"/>
        </w:rPr>
        <w:t>乙方的义务</w:t>
      </w:r>
    </w:p>
    <w:p w14:paraId="1C8A8182">
      <w:pPr>
        <w:spacing w:line="360" w:lineRule="auto"/>
        <w:ind w:firstLine="560"/>
        <w:rPr>
          <w:rFonts w:hint="eastAsia" w:ascii="宋体" w:hAnsi="宋体" w:eastAsia="宋体" w:cs="宋体"/>
          <w:color w:val="auto"/>
          <w:sz w:val="28"/>
          <w:szCs w:val="28"/>
          <w:lang w:eastAsia="zh-CN"/>
        </w:rPr>
      </w:pPr>
      <w:r>
        <w:rPr>
          <w:rFonts w:ascii="宋体" w:hAnsi="宋体" w:cs="宋体"/>
          <w:color w:val="auto"/>
          <w:sz w:val="28"/>
          <w:szCs w:val="28"/>
        </w:rPr>
        <w:t>2.1</w:t>
      </w:r>
      <w:r>
        <w:rPr>
          <w:rFonts w:hint="eastAsia" w:ascii="宋体" w:hAnsi="宋体" w:cs="宋体"/>
          <w:color w:val="auto"/>
          <w:sz w:val="28"/>
          <w:szCs w:val="28"/>
        </w:rPr>
        <w:t>依据履行合同的约定向甲方提供实施服务人员</w:t>
      </w:r>
      <w:r>
        <w:rPr>
          <w:rFonts w:hint="eastAsia" w:ascii="宋体" w:hAnsi="宋体" w:cs="宋体"/>
          <w:color w:val="auto"/>
          <w:sz w:val="28"/>
          <w:szCs w:val="28"/>
          <w:lang w:eastAsia="zh-CN"/>
        </w:rPr>
        <w:t>。</w:t>
      </w:r>
    </w:p>
    <w:p w14:paraId="03ECD276">
      <w:pPr>
        <w:spacing w:line="360" w:lineRule="auto"/>
        <w:ind w:firstLine="560"/>
        <w:rPr>
          <w:rFonts w:ascii="宋体" w:hAnsi="宋体" w:cs="宋体"/>
          <w:color w:val="auto"/>
          <w:sz w:val="28"/>
          <w:szCs w:val="28"/>
        </w:rPr>
      </w:pPr>
      <w:r>
        <w:rPr>
          <w:rFonts w:hint="eastAsia" w:ascii="宋体" w:hAnsi="宋体" w:cs="宋体"/>
          <w:color w:val="auto"/>
          <w:sz w:val="28"/>
          <w:szCs w:val="28"/>
        </w:rPr>
        <w:t>2.2乙方委派项目经理担任本项目的项目负责人，乙方应保证项目实施服务的工作连续性。如有实施需要，甲方可以要求乙方协调有关人员到项目现场进行项目实施服务。</w:t>
      </w:r>
    </w:p>
    <w:p w14:paraId="6A0483A6">
      <w:pPr>
        <w:spacing w:line="360" w:lineRule="auto"/>
        <w:rPr>
          <w:rFonts w:ascii="宋体" w:hAnsi="宋体" w:cs="宋体"/>
          <w:b/>
          <w:color w:val="auto"/>
          <w:sz w:val="28"/>
          <w:szCs w:val="28"/>
        </w:rPr>
      </w:pPr>
      <w:r>
        <w:rPr>
          <w:rFonts w:hint="eastAsia" w:ascii="宋体" w:hAnsi="宋体" w:cs="宋体"/>
          <w:b/>
          <w:color w:val="auto"/>
          <w:sz w:val="28"/>
          <w:szCs w:val="28"/>
        </w:rPr>
        <w:t>四、技术服务的标准和方式</w:t>
      </w:r>
    </w:p>
    <w:p w14:paraId="2898CB25">
      <w:pPr>
        <w:numPr>
          <w:ilvl w:val="0"/>
          <w:numId w:val="4"/>
        </w:numPr>
        <w:spacing w:line="360" w:lineRule="auto"/>
        <w:ind w:firstLine="560"/>
        <w:rPr>
          <w:rFonts w:ascii="宋体" w:hAnsi="宋体" w:cs="宋体"/>
          <w:color w:val="auto"/>
          <w:sz w:val="28"/>
          <w:szCs w:val="28"/>
        </w:rPr>
      </w:pPr>
      <w:r>
        <w:rPr>
          <w:rFonts w:hint="eastAsia" w:ascii="宋体" w:hAnsi="宋体" w:cs="宋体"/>
          <w:color w:val="auto"/>
          <w:sz w:val="28"/>
          <w:szCs w:val="28"/>
        </w:rPr>
        <w:t>技术服务标准</w:t>
      </w:r>
    </w:p>
    <w:p w14:paraId="45AB324A">
      <w:pPr>
        <w:spacing w:line="360" w:lineRule="auto"/>
        <w:ind w:firstLine="560"/>
        <w:rPr>
          <w:rFonts w:ascii="宋体" w:hAnsi="宋体" w:cs="宋体"/>
          <w:color w:val="auto"/>
          <w:sz w:val="28"/>
          <w:szCs w:val="28"/>
        </w:rPr>
      </w:pPr>
      <w:r>
        <w:rPr>
          <w:rFonts w:hint="eastAsia" w:ascii="宋体" w:hAnsi="宋体" w:cs="宋体"/>
          <w:color w:val="auto"/>
          <w:sz w:val="28"/>
          <w:szCs w:val="28"/>
        </w:rPr>
        <w:t>在设备发生紧急故障的情况下，乙方将提出应急解决措施：7×24的响应时间， 由当地服务机构的技术人员立即赶往现场进行排除，或按甲方要求提供5×8小时现场服务；</w:t>
      </w:r>
    </w:p>
    <w:p w14:paraId="52A381FF">
      <w:pPr>
        <w:spacing w:line="360" w:lineRule="auto"/>
        <w:ind w:firstLine="560"/>
        <w:rPr>
          <w:rFonts w:ascii="宋体" w:hAnsi="宋体" w:cs="宋体"/>
          <w:color w:val="auto"/>
          <w:sz w:val="28"/>
          <w:szCs w:val="28"/>
        </w:rPr>
      </w:pPr>
      <w:r>
        <w:rPr>
          <w:rFonts w:hint="eastAsia" w:ascii="宋体" w:hAnsi="宋体" w:cs="宋体"/>
          <w:color w:val="auto"/>
          <w:sz w:val="28"/>
          <w:szCs w:val="28"/>
        </w:rPr>
        <w:t>2、技术服务方式</w:t>
      </w:r>
    </w:p>
    <w:p w14:paraId="5CA9C000">
      <w:pPr>
        <w:spacing w:line="360" w:lineRule="auto"/>
        <w:ind w:firstLine="560"/>
        <w:rPr>
          <w:rFonts w:ascii="宋体" w:hAnsi="宋体" w:cs="宋体"/>
          <w:color w:val="auto"/>
          <w:sz w:val="28"/>
          <w:szCs w:val="28"/>
        </w:rPr>
      </w:pPr>
      <w:r>
        <w:rPr>
          <w:rFonts w:hint="eastAsia" w:ascii="宋体" w:hAnsi="宋体" w:cs="宋体"/>
          <w:color w:val="auto"/>
          <w:sz w:val="28"/>
          <w:szCs w:val="28"/>
        </w:rPr>
        <w:t>乙方为甲方提供3种</w:t>
      </w:r>
      <w:r>
        <w:rPr>
          <w:rFonts w:hint="eastAsia" w:ascii="宋体" w:hAnsi="宋体" w:cs="宋体"/>
          <w:color w:val="auto"/>
          <w:sz w:val="28"/>
          <w:szCs w:val="28"/>
          <w:lang w:eastAsia="zh-CN"/>
        </w:rPr>
        <w:t>类型</w:t>
      </w:r>
      <w:r>
        <w:rPr>
          <w:rFonts w:hint="eastAsia" w:ascii="宋体" w:hAnsi="宋体" w:cs="宋体"/>
          <w:color w:val="auto"/>
          <w:sz w:val="28"/>
          <w:szCs w:val="28"/>
          <w:lang w:val="en-US" w:eastAsia="zh-CN"/>
        </w:rPr>
        <w:t>4种</w:t>
      </w:r>
      <w:r>
        <w:rPr>
          <w:rFonts w:hint="eastAsia" w:ascii="宋体" w:hAnsi="宋体" w:cs="宋体"/>
          <w:color w:val="auto"/>
          <w:sz w:val="28"/>
          <w:szCs w:val="28"/>
        </w:rPr>
        <w:t>技术服务方式：</w:t>
      </w:r>
    </w:p>
    <w:p w14:paraId="6A652569">
      <w:pPr>
        <w:spacing w:line="360" w:lineRule="auto"/>
        <w:ind w:firstLine="560"/>
        <w:rPr>
          <w:rFonts w:ascii="宋体" w:hAnsi="宋体" w:cs="宋体"/>
          <w:color w:val="auto"/>
          <w:sz w:val="28"/>
          <w:szCs w:val="28"/>
        </w:rPr>
      </w:pPr>
      <w:r>
        <w:rPr>
          <w:rFonts w:hint="eastAsia" w:ascii="宋体" w:hAnsi="宋体" w:cs="宋体"/>
          <w:color w:val="auto"/>
          <w:sz w:val="28"/>
          <w:szCs w:val="28"/>
        </w:rPr>
        <w:t>2.1远程定期系统巡检：检查系统漏洞，定期打补丁，系统更新升级、系统故障排除等。</w:t>
      </w:r>
    </w:p>
    <w:p w14:paraId="280325D0">
      <w:pPr>
        <w:spacing w:line="360" w:lineRule="auto"/>
        <w:ind w:firstLine="560"/>
        <w:rPr>
          <w:rFonts w:ascii="宋体" w:hAnsi="宋体" w:cs="宋体"/>
          <w:color w:val="auto"/>
          <w:sz w:val="28"/>
          <w:szCs w:val="28"/>
        </w:rPr>
      </w:pPr>
      <w:r>
        <w:rPr>
          <w:rFonts w:hint="eastAsia" w:ascii="宋体" w:hAnsi="宋体" w:cs="宋体"/>
          <w:color w:val="auto"/>
          <w:sz w:val="28"/>
          <w:szCs w:val="28"/>
        </w:rPr>
        <w:t>2.2远程技术咨询服务：电话</w:t>
      </w:r>
      <w:r>
        <w:rPr>
          <w:rFonts w:hint="eastAsia" w:ascii="宋体" w:hAnsi="宋体" w:cs="宋体"/>
          <w:color w:val="auto"/>
          <w:sz w:val="28"/>
          <w:szCs w:val="28"/>
          <w:lang w:eastAsia="zh-CN"/>
        </w:rPr>
        <w:t>、电子邮件</w:t>
      </w:r>
      <w:r>
        <w:rPr>
          <w:rFonts w:hint="eastAsia" w:ascii="宋体" w:hAnsi="宋体" w:cs="宋体"/>
          <w:color w:val="auto"/>
          <w:sz w:val="28"/>
          <w:szCs w:val="28"/>
        </w:rPr>
        <w:t>解答客户提出的技术问题。</w:t>
      </w:r>
    </w:p>
    <w:p w14:paraId="25480124">
      <w:pPr>
        <w:spacing w:line="360" w:lineRule="auto"/>
        <w:ind w:firstLine="560"/>
        <w:rPr>
          <w:rFonts w:ascii="宋体" w:hAnsi="宋体" w:cs="宋体"/>
          <w:color w:val="auto"/>
          <w:sz w:val="28"/>
          <w:szCs w:val="28"/>
        </w:rPr>
      </w:pPr>
      <w:r>
        <w:rPr>
          <w:rFonts w:hint="eastAsia" w:ascii="宋体" w:hAnsi="宋体" w:cs="宋体"/>
          <w:color w:val="auto"/>
          <w:sz w:val="28"/>
          <w:szCs w:val="28"/>
        </w:rPr>
        <w:t>2.3现场技术咨询、故障排除服务：赴客户现场提供技术咨询，故障排除服务。</w:t>
      </w:r>
    </w:p>
    <w:p w14:paraId="1206ABE4">
      <w:pPr>
        <w:spacing w:line="360" w:lineRule="auto"/>
        <w:rPr>
          <w:rFonts w:ascii="宋体" w:hAnsi="宋体" w:cs="宋体"/>
          <w:b/>
          <w:color w:val="auto"/>
          <w:sz w:val="28"/>
          <w:szCs w:val="28"/>
        </w:rPr>
      </w:pPr>
      <w:r>
        <w:rPr>
          <w:rFonts w:hint="eastAsia" w:ascii="宋体" w:hAnsi="宋体" w:cs="宋体"/>
          <w:b/>
          <w:color w:val="auto"/>
          <w:sz w:val="28"/>
          <w:szCs w:val="28"/>
        </w:rPr>
        <w:t>五、有关技术服务的其他约定</w:t>
      </w:r>
    </w:p>
    <w:p w14:paraId="2570C86B">
      <w:pPr>
        <w:numPr>
          <w:ilvl w:val="0"/>
          <w:numId w:val="5"/>
        </w:numPr>
        <w:spacing w:line="360" w:lineRule="auto"/>
        <w:ind w:firstLine="560"/>
        <w:rPr>
          <w:rFonts w:ascii="宋体" w:hAnsi="宋体" w:cs="宋体"/>
          <w:color w:val="auto"/>
          <w:sz w:val="28"/>
          <w:szCs w:val="28"/>
        </w:rPr>
      </w:pPr>
      <w:r>
        <w:rPr>
          <w:rFonts w:hint="eastAsia" w:ascii="宋体" w:hAnsi="宋体" w:cs="宋体"/>
          <w:color w:val="auto"/>
          <w:sz w:val="28"/>
          <w:szCs w:val="28"/>
        </w:rPr>
        <w:t>从本合同签订生效之日起，乙方将提供</w:t>
      </w:r>
      <w:r>
        <w:rPr>
          <w:rFonts w:hint="eastAsia" w:ascii="宋体" w:hAnsi="宋体" w:cs="宋体"/>
          <w:color w:val="auto"/>
          <w:sz w:val="28"/>
          <w:szCs w:val="28"/>
          <w:u w:val="single"/>
        </w:rPr>
        <w:t xml:space="preserve"> 12 </w:t>
      </w:r>
      <w:r>
        <w:rPr>
          <w:rFonts w:hint="eastAsia" w:ascii="宋体" w:hAnsi="宋体" w:cs="宋体"/>
          <w:color w:val="auto"/>
          <w:sz w:val="28"/>
          <w:szCs w:val="28"/>
        </w:rPr>
        <w:t>个月的系统技术服务，技术服务的范围及要求：合同所涉及服务内容及服务要求；若因甲方操作不当原因造成的系统故障产生额外费用的，费用由甲方承担；或者双方协商处理以确保系统正常使用。</w:t>
      </w:r>
    </w:p>
    <w:p w14:paraId="3A63164F">
      <w:pPr>
        <w:spacing w:line="360" w:lineRule="auto"/>
        <w:rPr>
          <w:rFonts w:ascii="宋体" w:hAnsi="宋体" w:cs="宋体"/>
          <w:b/>
          <w:color w:val="auto"/>
          <w:sz w:val="28"/>
          <w:szCs w:val="28"/>
        </w:rPr>
      </w:pPr>
      <w:r>
        <w:rPr>
          <w:rFonts w:hint="eastAsia" w:ascii="宋体" w:hAnsi="宋体" w:cs="宋体"/>
          <w:b/>
          <w:color w:val="auto"/>
          <w:sz w:val="28"/>
          <w:szCs w:val="28"/>
        </w:rPr>
        <w:t>六、合同金额及支付方式</w:t>
      </w:r>
    </w:p>
    <w:p w14:paraId="08D6D876">
      <w:pPr>
        <w:snapToGrid w:val="0"/>
        <w:spacing w:line="360" w:lineRule="auto"/>
        <w:ind w:firstLine="560" w:firstLineChars="200"/>
        <w:jc w:val="left"/>
        <w:rPr>
          <w:rFonts w:ascii="宋体" w:hAnsi="宋体" w:cs="宋体"/>
          <w:color w:val="auto"/>
          <w:sz w:val="28"/>
          <w:szCs w:val="28"/>
        </w:rPr>
      </w:pPr>
      <w:r>
        <w:rPr>
          <w:rFonts w:hint="eastAsia" w:ascii="宋体" w:hAnsi="宋体" w:cs="宋体"/>
          <w:color w:val="auto"/>
          <w:sz w:val="28"/>
          <w:szCs w:val="28"/>
        </w:rPr>
        <w:t>合同总费用金额人民币大写：[</w:t>
      </w:r>
      <w:r>
        <w:rPr>
          <w:rFonts w:hint="eastAsia" w:ascii="宋体" w:hAnsi="宋体" w:cs="宋体"/>
          <w:color w:val="auto"/>
          <w:sz w:val="28"/>
          <w:szCs w:val="28"/>
          <w:lang w:val="en-US" w:eastAsia="zh-CN"/>
        </w:rPr>
        <w:t xml:space="preserve"> </w:t>
      </w:r>
      <w:r>
        <w:rPr>
          <w:rFonts w:ascii="宋体" w:hAnsi="宋体" w:cs="宋体"/>
          <w:color w:val="auto"/>
          <w:sz w:val="28"/>
          <w:szCs w:val="28"/>
        </w:rPr>
        <w:t>]元整</w:t>
      </w:r>
      <w:r>
        <w:rPr>
          <w:rFonts w:hint="eastAsia" w:ascii="宋体" w:hAnsi="宋体" w:cs="宋体"/>
          <w:color w:val="auto"/>
          <w:sz w:val="28"/>
          <w:szCs w:val="28"/>
        </w:rPr>
        <w:t>；</w:t>
      </w:r>
      <w:r>
        <w:rPr>
          <w:rFonts w:ascii="宋体" w:hAnsi="宋体" w:cs="宋体"/>
          <w:color w:val="auto"/>
          <w:sz w:val="28"/>
          <w:szCs w:val="28"/>
        </w:rPr>
        <w:t>人民币小写[¥]</w:t>
      </w:r>
      <w:r>
        <w:rPr>
          <w:rFonts w:hint="eastAsia" w:ascii="宋体" w:hAnsi="宋体" w:cs="宋体"/>
          <w:color w:val="auto"/>
          <w:sz w:val="28"/>
          <w:szCs w:val="28"/>
        </w:rPr>
        <w:t>元。价款人民币大写[]，小写[</w:t>
      </w:r>
      <w:r>
        <w:rPr>
          <w:rFonts w:ascii="宋体" w:hAnsi="宋体" w:cs="宋体"/>
          <w:color w:val="auto"/>
          <w:sz w:val="28"/>
          <w:szCs w:val="28"/>
        </w:rPr>
        <w:t>¥</w:t>
      </w:r>
      <w:r>
        <w:rPr>
          <w:rFonts w:hint="eastAsia" w:ascii="宋体" w:hAnsi="宋体" w:cs="宋体"/>
          <w:color w:val="auto"/>
          <w:sz w:val="28"/>
          <w:szCs w:val="28"/>
        </w:rPr>
        <w:t>]元。税款人民币大写[]，小写[</w:t>
      </w:r>
      <w:r>
        <w:rPr>
          <w:rFonts w:ascii="宋体" w:hAnsi="宋体" w:cs="宋体"/>
          <w:color w:val="auto"/>
          <w:sz w:val="28"/>
          <w:szCs w:val="28"/>
        </w:rPr>
        <w:t>¥</w:t>
      </w:r>
      <w:r>
        <w:rPr>
          <w:rFonts w:hint="eastAsia" w:ascii="宋体" w:hAnsi="宋体" w:cs="宋体"/>
          <w:color w:val="auto"/>
          <w:sz w:val="28"/>
          <w:szCs w:val="28"/>
        </w:rPr>
        <w:t>]元。税率</w:t>
      </w:r>
      <w:r>
        <w:rPr>
          <w:rFonts w:hint="eastAsia" w:ascii="宋体" w:hAnsi="宋体" w:cs="宋体"/>
          <w:color w:val="auto"/>
          <w:sz w:val="28"/>
          <w:szCs w:val="28"/>
          <w:lang w:val="en-US" w:eastAsia="zh-CN"/>
        </w:rPr>
        <w:t>[]</w:t>
      </w:r>
      <w:r>
        <w:rPr>
          <w:rFonts w:hint="eastAsia" w:ascii="宋体" w:hAnsi="宋体" w:cs="宋体"/>
          <w:color w:val="auto"/>
          <w:sz w:val="28"/>
          <w:szCs w:val="28"/>
        </w:rPr>
        <w:t>%。详见附件清单。</w:t>
      </w:r>
    </w:p>
    <w:p w14:paraId="21489258">
      <w:pPr>
        <w:snapToGrid w:val="0"/>
        <w:spacing w:line="360" w:lineRule="auto"/>
        <w:ind w:firstLine="554"/>
        <w:jc w:val="left"/>
        <w:rPr>
          <w:rFonts w:ascii="宋体" w:hAnsi="宋体" w:cs="宋体"/>
          <w:color w:val="auto"/>
          <w:sz w:val="28"/>
          <w:szCs w:val="28"/>
        </w:rPr>
      </w:pPr>
      <w:r>
        <w:rPr>
          <w:rFonts w:hint="eastAsia" w:ascii="宋体" w:hAnsi="宋体" w:cs="宋体"/>
          <w:color w:val="auto"/>
          <w:sz w:val="28"/>
          <w:szCs w:val="28"/>
          <w:lang w:val="en-US" w:eastAsia="zh-CN"/>
        </w:rPr>
        <w:t>1</w:t>
      </w:r>
      <w:r>
        <w:rPr>
          <w:rFonts w:hint="eastAsia" w:ascii="宋体" w:hAnsi="宋体" w:cs="宋体"/>
          <w:color w:val="auto"/>
          <w:sz w:val="28"/>
          <w:szCs w:val="28"/>
        </w:rPr>
        <w:t>、支付方式</w:t>
      </w:r>
      <w:bookmarkStart w:id="0" w:name="_GoBack"/>
      <w:bookmarkEnd w:id="0"/>
    </w:p>
    <w:p w14:paraId="2DF366F6">
      <w:pPr>
        <w:snapToGrid w:val="0"/>
        <w:spacing w:line="360" w:lineRule="auto"/>
        <w:ind w:firstLine="554"/>
        <w:jc w:val="left"/>
        <w:rPr>
          <w:rFonts w:ascii="宋体" w:hAnsi="宋体" w:cs="宋体"/>
          <w:color w:val="auto"/>
          <w:szCs w:val="21"/>
        </w:rPr>
      </w:pPr>
      <w:r>
        <w:rPr>
          <w:rFonts w:hint="eastAsia" w:ascii="宋体" w:hAnsi="宋体" w:cs="宋体"/>
          <w:color w:val="auto"/>
          <w:sz w:val="28"/>
          <w:szCs w:val="28"/>
          <w:lang w:val="en-US" w:eastAsia="zh-CN"/>
        </w:rPr>
        <w:t xml:space="preserve">合同签订生效后，达到付款条件起30日内，支付合同总金额的100.00%。  </w:t>
      </w:r>
      <w:r>
        <w:rPr>
          <w:rFonts w:hint="eastAsia" w:ascii="宋体" w:hAnsi="宋体" w:cs="宋体"/>
          <w:color w:val="auto"/>
          <w:sz w:val="28"/>
          <w:szCs w:val="28"/>
        </w:rPr>
        <w:t>(人民币)大写：</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rPr>
        <w:t>，小写：</w:t>
      </w:r>
      <w:r>
        <w:rPr>
          <w:rFonts w:hint="eastAsia" w:ascii="宋体" w:hAnsi="宋体" w:cs="宋体"/>
          <w:color w:val="auto"/>
          <w:sz w:val="28"/>
          <w:szCs w:val="28"/>
          <w:u w:val="single"/>
          <w:lang w:val="en-US" w:eastAsia="zh-CN"/>
        </w:rPr>
        <w:t xml:space="preserve"> </w:t>
      </w:r>
      <w:r>
        <w:rPr>
          <w:rFonts w:ascii="宋体" w:hAnsi="宋体" w:cs="宋体"/>
          <w:color w:val="auto"/>
          <w:sz w:val="28"/>
          <w:szCs w:val="28"/>
          <w:u w:val="single"/>
        </w:rPr>
        <w:t>¥</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rPr>
        <w:t>元整。</w:t>
      </w:r>
    </w:p>
    <w:p w14:paraId="031369F5">
      <w:pPr>
        <w:tabs>
          <w:tab w:val="left" w:pos="840"/>
        </w:tabs>
        <w:spacing w:line="360" w:lineRule="auto"/>
        <w:rPr>
          <w:rFonts w:ascii="宋体" w:hAnsi="宋体" w:cs="宋体"/>
          <w:b/>
          <w:color w:val="auto"/>
          <w:sz w:val="28"/>
          <w:szCs w:val="28"/>
        </w:rPr>
      </w:pPr>
      <w:r>
        <w:rPr>
          <w:rFonts w:hint="eastAsia" w:ascii="宋体" w:hAnsi="宋体" w:cs="宋体"/>
          <w:b/>
          <w:color w:val="auto"/>
          <w:sz w:val="28"/>
          <w:szCs w:val="28"/>
        </w:rPr>
        <w:t>七、质量保证</w:t>
      </w:r>
    </w:p>
    <w:p w14:paraId="3A7CC1B6">
      <w:pPr>
        <w:pStyle w:val="4"/>
        <w:spacing w:after="0" w:line="360" w:lineRule="auto"/>
        <w:ind w:firstLine="560"/>
        <w:jc w:val="left"/>
        <w:rPr>
          <w:rFonts w:ascii="宋体" w:hAnsi="宋体" w:eastAsia="宋体" w:cs="宋体"/>
          <w:color w:val="auto"/>
          <w:sz w:val="28"/>
          <w:szCs w:val="28"/>
        </w:rPr>
      </w:pPr>
      <w:r>
        <w:rPr>
          <w:rFonts w:hint="eastAsia" w:ascii="宋体" w:hAnsi="宋体" w:eastAsia="宋体" w:cs="宋体"/>
          <w:color w:val="auto"/>
          <w:sz w:val="28"/>
          <w:szCs w:val="28"/>
        </w:rPr>
        <w:t>供应商提供的服务，应全面满足单一来源文件的要求，单一来源文件未明确要求的内容，供应商须按采购人的补充要求为准。</w:t>
      </w:r>
    </w:p>
    <w:p w14:paraId="1C5202F7">
      <w:pPr>
        <w:tabs>
          <w:tab w:val="left" w:pos="840"/>
        </w:tabs>
        <w:spacing w:line="360" w:lineRule="auto"/>
        <w:rPr>
          <w:rFonts w:ascii="宋体" w:hAnsi="宋体" w:cs="宋体"/>
          <w:b/>
          <w:color w:val="auto"/>
          <w:sz w:val="28"/>
          <w:szCs w:val="28"/>
        </w:rPr>
      </w:pPr>
      <w:r>
        <w:rPr>
          <w:rFonts w:hint="eastAsia" w:ascii="宋体" w:hAnsi="宋体" w:cs="宋体"/>
          <w:b/>
          <w:color w:val="auto"/>
          <w:sz w:val="28"/>
          <w:szCs w:val="28"/>
        </w:rPr>
        <w:t>八、合同生效</w:t>
      </w:r>
    </w:p>
    <w:p w14:paraId="2420B7C9">
      <w:pPr>
        <w:pStyle w:val="4"/>
        <w:ind w:firstLine="560"/>
        <w:jc w:val="left"/>
        <w:rPr>
          <w:rFonts w:ascii="宋体" w:hAnsi="宋体" w:cs="宋体"/>
          <w:color w:val="auto"/>
          <w:szCs w:val="21"/>
        </w:rPr>
      </w:pPr>
      <w:r>
        <w:rPr>
          <w:rFonts w:hint="eastAsia" w:ascii="宋体" w:hAnsi="宋体" w:eastAsia="宋体" w:cs="宋体"/>
          <w:color w:val="auto"/>
          <w:sz w:val="28"/>
          <w:szCs w:val="28"/>
        </w:rPr>
        <w:t>甲乙双方在合同上签字盖章日为合同生效日；乙方从合同生效日起开始提供技术服务；合同有效期为自合同生效日起一年（12个月）</w:t>
      </w:r>
      <w:r>
        <w:rPr>
          <w:rFonts w:hint="eastAsia" w:ascii="宋体" w:hAnsi="宋体" w:eastAsia="宋体" w:cs="宋体"/>
          <w:color w:val="auto"/>
          <w:sz w:val="28"/>
          <w:szCs w:val="28"/>
          <w:lang w:eastAsia="zh-CN"/>
        </w:rPr>
        <w:t>。</w:t>
      </w:r>
    </w:p>
    <w:p w14:paraId="4347A7EB">
      <w:pPr>
        <w:spacing w:line="360" w:lineRule="auto"/>
        <w:rPr>
          <w:rFonts w:ascii="宋体" w:hAnsi="宋体" w:cs="宋体"/>
          <w:b/>
          <w:color w:val="auto"/>
          <w:sz w:val="28"/>
          <w:szCs w:val="28"/>
        </w:rPr>
      </w:pPr>
      <w:r>
        <w:rPr>
          <w:rFonts w:hint="eastAsia" w:ascii="宋体" w:hAnsi="宋体" w:cs="宋体"/>
          <w:b/>
          <w:color w:val="auto"/>
          <w:sz w:val="28"/>
          <w:szCs w:val="28"/>
        </w:rPr>
        <w:t>九、保密</w:t>
      </w:r>
    </w:p>
    <w:p w14:paraId="59ECF105">
      <w:pPr>
        <w:pStyle w:val="7"/>
        <w:spacing w:line="360" w:lineRule="auto"/>
        <w:ind w:firstLine="560"/>
        <w:rPr>
          <w:rFonts w:ascii="宋体" w:hAnsi="宋体" w:cs="宋体"/>
          <w:color w:val="auto"/>
          <w:sz w:val="28"/>
          <w:szCs w:val="28"/>
        </w:rPr>
      </w:pPr>
      <w:r>
        <w:rPr>
          <w:rFonts w:hint="eastAsia" w:ascii="宋体" w:hAnsi="宋体" w:cs="宋体"/>
          <w:color w:val="auto"/>
          <w:sz w:val="28"/>
          <w:szCs w:val="28"/>
        </w:rPr>
        <w:t>乙方在对甲方进行系统实施服务过程中，对所取得和甲方的资料、数据、方法、技巧和思想等国家机密在未经甲方许可下，应严格保密，不得外泄；如有信息外泄给甲方带来的损失由乙方全权承担。本合同的解除或终止不免除供应商应承担的保密义务。</w:t>
      </w:r>
    </w:p>
    <w:p w14:paraId="0349DF08">
      <w:pPr>
        <w:spacing w:line="360" w:lineRule="auto"/>
        <w:ind w:firstLine="560"/>
        <w:rPr>
          <w:rFonts w:ascii="宋体" w:hAnsi="宋体" w:cs="宋体"/>
          <w:color w:val="auto"/>
          <w:sz w:val="28"/>
          <w:szCs w:val="28"/>
        </w:rPr>
      </w:pPr>
      <w:r>
        <w:rPr>
          <w:rFonts w:hint="eastAsia" w:ascii="宋体" w:hAnsi="宋体" w:cs="宋体"/>
          <w:color w:val="auto"/>
          <w:sz w:val="28"/>
          <w:szCs w:val="28"/>
        </w:rPr>
        <w:t>合同解决争议的方式本合同未尽事宜，双方以友好协商的原则妥善解决，如双方因质量、技术问题的争议，可向鄠邑区仲裁委员会申请仲裁，亦可直接向鄠邑区人民法院诉讼。</w:t>
      </w:r>
    </w:p>
    <w:p w14:paraId="45F19B68">
      <w:pPr>
        <w:spacing w:line="360" w:lineRule="auto"/>
        <w:jc w:val="left"/>
        <w:rPr>
          <w:rFonts w:ascii="宋体" w:hAnsi="宋体" w:cs="宋体"/>
          <w:b/>
          <w:color w:val="auto"/>
          <w:sz w:val="28"/>
          <w:szCs w:val="28"/>
        </w:rPr>
      </w:pPr>
      <w:r>
        <w:rPr>
          <w:rFonts w:hint="eastAsia" w:ascii="宋体" w:hAnsi="宋体" w:cs="宋体"/>
          <w:b/>
          <w:color w:val="auto"/>
          <w:sz w:val="28"/>
          <w:szCs w:val="28"/>
        </w:rPr>
        <w:t>十、不可抗力情况下的免责约定</w:t>
      </w:r>
    </w:p>
    <w:p w14:paraId="31F623EC">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双方约定不可抗力情况指：双方不可预见、不可避免、不可克服的客观情况，但不包括双方的违约或疏忽。这些事件包括但不限于：战争、严重火灾、洪水、台风、地震等。</w:t>
      </w:r>
    </w:p>
    <w:p w14:paraId="08990B93">
      <w:pPr>
        <w:spacing w:line="360" w:lineRule="auto"/>
        <w:rPr>
          <w:rFonts w:ascii="宋体" w:hAnsi="宋体" w:cs="宋体"/>
          <w:b/>
          <w:color w:val="auto"/>
          <w:sz w:val="28"/>
          <w:szCs w:val="28"/>
        </w:rPr>
      </w:pPr>
      <w:r>
        <w:rPr>
          <w:rFonts w:hint="eastAsia" w:ascii="宋体" w:hAnsi="宋体" w:cs="宋体"/>
          <w:b/>
          <w:color w:val="auto"/>
          <w:sz w:val="28"/>
          <w:szCs w:val="28"/>
        </w:rPr>
        <w:t>十一、违约责任</w:t>
      </w:r>
    </w:p>
    <w:p w14:paraId="1D4E5254">
      <w:pPr>
        <w:spacing w:line="360" w:lineRule="auto"/>
        <w:ind w:firstLine="560"/>
        <w:rPr>
          <w:rFonts w:ascii="宋体" w:hAnsi="宋体" w:cs="宋体"/>
          <w:color w:val="auto"/>
          <w:sz w:val="28"/>
          <w:szCs w:val="28"/>
        </w:rPr>
      </w:pPr>
      <w:r>
        <w:rPr>
          <w:rFonts w:hint="eastAsia" w:ascii="宋体" w:hAnsi="宋体" w:cs="宋体"/>
          <w:color w:val="auto"/>
          <w:sz w:val="28"/>
          <w:szCs w:val="28"/>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0B713E14">
      <w:pPr>
        <w:spacing w:line="360" w:lineRule="auto"/>
        <w:ind w:firstLine="560"/>
        <w:rPr>
          <w:rFonts w:ascii="宋体" w:hAnsi="宋体" w:cs="宋体"/>
          <w:color w:val="auto"/>
          <w:sz w:val="28"/>
          <w:szCs w:val="28"/>
        </w:rPr>
      </w:pPr>
      <w:r>
        <w:rPr>
          <w:rFonts w:hint="eastAsia" w:ascii="宋体" w:hAnsi="宋体" w:cs="宋体"/>
          <w:color w:val="auto"/>
          <w:sz w:val="28"/>
          <w:szCs w:val="28"/>
        </w:rPr>
        <w:t>1、由于甲方原因造成服务滞后拖延，乙方可向甲方提出，甲方应在1个工作日内协调解决此问题，否则造成的服务滞后拖延由甲方负责。</w:t>
      </w:r>
    </w:p>
    <w:p w14:paraId="6CD03864">
      <w:pPr>
        <w:spacing w:line="360" w:lineRule="auto"/>
        <w:ind w:firstLine="560"/>
        <w:rPr>
          <w:rFonts w:ascii="宋体" w:hAnsi="宋体" w:cs="宋体"/>
          <w:color w:val="auto"/>
          <w:sz w:val="28"/>
          <w:szCs w:val="28"/>
        </w:rPr>
      </w:pPr>
      <w:r>
        <w:rPr>
          <w:rFonts w:hint="eastAsia" w:ascii="宋体" w:hAnsi="宋体" w:cs="宋体"/>
          <w:color w:val="auto"/>
          <w:sz w:val="28"/>
          <w:szCs w:val="28"/>
        </w:rPr>
        <w:t>2、在实施过程中由于乙方原因造成服务滞后拖延，甲方可向乙方提出，乙方应在1个工作日内响应，否则造成的服务滞后延误由乙方负责。</w:t>
      </w:r>
    </w:p>
    <w:p w14:paraId="3C5712C3">
      <w:pPr>
        <w:spacing w:line="360" w:lineRule="auto"/>
        <w:ind w:firstLine="560"/>
        <w:rPr>
          <w:rFonts w:ascii="宋体" w:hAnsi="宋体" w:cs="宋体"/>
          <w:color w:val="auto"/>
          <w:sz w:val="28"/>
          <w:szCs w:val="28"/>
        </w:rPr>
      </w:pPr>
      <w:r>
        <w:rPr>
          <w:rFonts w:hint="eastAsia" w:ascii="宋体" w:hAnsi="宋体" w:cs="宋体"/>
          <w:color w:val="auto"/>
          <w:sz w:val="28"/>
          <w:szCs w:val="28"/>
          <w:lang w:val="en-US" w:eastAsia="zh-CN"/>
        </w:rPr>
        <w:t>3</w:t>
      </w:r>
      <w:r>
        <w:rPr>
          <w:rFonts w:hint="eastAsia" w:ascii="宋体" w:hAnsi="宋体" w:cs="宋体"/>
          <w:color w:val="auto"/>
          <w:sz w:val="28"/>
          <w:szCs w:val="28"/>
        </w:rPr>
        <w:t>、由于客观不可控因素而导致的乙方服务滞后拖延的，不应视为乙方违约，但乙方应积极从技术方案上寻求解决办法，以保证甲方系统的正常平稳运行。</w:t>
      </w:r>
    </w:p>
    <w:p w14:paraId="3CA32405">
      <w:pPr>
        <w:spacing w:line="360" w:lineRule="auto"/>
        <w:rPr>
          <w:rFonts w:ascii="宋体" w:hAnsi="宋体" w:cs="宋体"/>
          <w:b/>
          <w:color w:val="auto"/>
          <w:sz w:val="28"/>
          <w:szCs w:val="28"/>
        </w:rPr>
      </w:pPr>
      <w:r>
        <w:rPr>
          <w:rFonts w:hint="eastAsia" w:ascii="宋体" w:hAnsi="宋体" w:cs="宋体"/>
          <w:b/>
          <w:color w:val="auto"/>
          <w:sz w:val="28"/>
          <w:szCs w:val="28"/>
        </w:rPr>
        <w:t>十二、附则</w:t>
      </w:r>
    </w:p>
    <w:p w14:paraId="01538CD5">
      <w:pPr>
        <w:spacing w:line="360" w:lineRule="auto"/>
        <w:ind w:firstLine="560"/>
        <w:rPr>
          <w:rFonts w:ascii="宋体" w:hAnsi="宋体" w:cs="宋体"/>
          <w:color w:val="auto"/>
          <w:sz w:val="28"/>
          <w:szCs w:val="28"/>
        </w:rPr>
      </w:pPr>
      <w:r>
        <w:rPr>
          <w:rFonts w:hint="eastAsia" w:ascii="宋体" w:hAnsi="宋体" w:cs="宋体"/>
          <w:color w:val="auto"/>
          <w:sz w:val="28"/>
          <w:szCs w:val="28"/>
        </w:rPr>
        <w:t>1、本合同一式陆份，经供需双方签字盖章后生效，甲方肆份，乙方两份，均具有同等法律效力。</w:t>
      </w:r>
    </w:p>
    <w:p w14:paraId="0B29E82B">
      <w:pPr>
        <w:spacing w:line="360" w:lineRule="auto"/>
        <w:ind w:firstLine="560"/>
        <w:rPr>
          <w:rFonts w:ascii="宋体" w:hAnsi="宋体" w:cs="宋体"/>
          <w:color w:val="auto"/>
          <w:sz w:val="28"/>
          <w:szCs w:val="28"/>
        </w:rPr>
      </w:pPr>
      <w:r>
        <w:rPr>
          <w:rFonts w:hint="eastAsia" w:ascii="宋体" w:hAnsi="宋体" w:cs="宋体"/>
          <w:color w:val="auto"/>
          <w:sz w:val="28"/>
          <w:szCs w:val="28"/>
        </w:rPr>
        <w:t>2、合同履行过程中形成的各种书面文件，经双方签署确认后为本合同的组成部分，与本合同具有同等法律效力，解释的顺序除有特别说明外，以文件生成时间在后的为准。</w:t>
      </w:r>
    </w:p>
    <w:p w14:paraId="41467483">
      <w:pPr>
        <w:spacing w:line="360" w:lineRule="auto"/>
        <w:ind w:firstLine="560"/>
        <w:rPr>
          <w:rFonts w:ascii="宋体" w:hAnsi="宋体" w:cs="宋体"/>
          <w:color w:val="auto"/>
          <w:sz w:val="28"/>
          <w:szCs w:val="28"/>
        </w:rPr>
      </w:pPr>
      <w:r>
        <w:rPr>
          <w:rFonts w:hint="eastAsia" w:ascii="宋体" w:hAnsi="宋体" w:cs="宋体"/>
          <w:color w:val="auto"/>
          <w:sz w:val="28"/>
          <w:szCs w:val="28"/>
        </w:rPr>
        <w:t>3、本合同未尽事宜，双方可协商签订补充协议，补充协议与本合同具有同等法律效力。</w:t>
      </w:r>
    </w:p>
    <w:p w14:paraId="732C90A5">
      <w:pPr>
        <w:tabs>
          <w:tab w:val="left" w:pos="980"/>
        </w:tabs>
        <w:kinsoku w:val="0"/>
        <w:spacing w:line="360" w:lineRule="auto"/>
        <w:ind w:firstLine="560"/>
        <w:rPr>
          <w:rFonts w:ascii="宋体" w:hAnsi="宋体" w:cs="宋体"/>
          <w:color w:val="auto"/>
          <w:sz w:val="28"/>
          <w:szCs w:val="28"/>
        </w:rPr>
      </w:pPr>
    </w:p>
    <w:p w14:paraId="24981842">
      <w:pPr>
        <w:snapToGrid w:val="0"/>
        <w:spacing w:line="360" w:lineRule="auto"/>
        <w:ind w:firstLine="554"/>
        <w:rPr>
          <w:rFonts w:ascii="宋体" w:hAnsi="宋体" w:cs="宋体"/>
          <w:color w:val="auto"/>
          <w:sz w:val="28"/>
          <w:szCs w:val="28"/>
        </w:rPr>
      </w:pPr>
    </w:p>
    <w:p w14:paraId="1C541B28">
      <w:pPr>
        <w:snapToGrid w:val="0"/>
        <w:spacing w:line="360" w:lineRule="auto"/>
        <w:ind w:firstLine="280" w:firstLineChars="100"/>
        <w:rPr>
          <w:rFonts w:ascii="宋体" w:hAnsi="宋体" w:cs="宋体"/>
          <w:color w:val="auto"/>
          <w:sz w:val="28"/>
          <w:szCs w:val="28"/>
        </w:rPr>
      </w:pPr>
      <w:r>
        <w:rPr>
          <w:rFonts w:hint="eastAsia" w:ascii="宋体" w:hAnsi="宋体" w:cs="宋体"/>
          <w:color w:val="auto"/>
          <w:sz w:val="28"/>
          <w:szCs w:val="28"/>
        </w:rPr>
        <w:t>甲方：</w:t>
      </w:r>
      <w:r>
        <w:rPr>
          <w:rFonts w:hint="eastAsia" w:ascii="宋体" w:hAnsi="宋体" w:cs="宋体"/>
          <w:color w:val="auto"/>
          <w:sz w:val="28"/>
          <w:szCs w:val="28"/>
          <w:u w:val="single"/>
        </w:rPr>
        <w:t xml:space="preserve">   （盖章）     </w:t>
      </w:r>
      <w:r>
        <w:rPr>
          <w:rFonts w:hint="eastAsia" w:ascii="宋体" w:hAnsi="宋体" w:cs="宋体"/>
          <w:color w:val="auto"/>
          <w:sz w:val="28"/>
          <w:szCs w:val="28"/>
        </w:rPr>
        <w:t xml:space="preserve">            乙方：</w:t>
      </w:r>
      <w:r>
        <w:rPr>
          <w:rFonts w:hint="eastAsia" w:ascii="宋体" w:hAnsi="宋体" w:cs="宋体"/>
          <w:color w:val="auto"/>
          <w:sz w:val="28"/>
          <w:szCs w:val="28"/>
          <w:u w:val="single"/>
        </w:rPr>
        <w:t xml:space="preserve">   （盖章）    </w:t>
      </w:r>
    </w:p>
    <w:p w14:paraId="565181EB">
      <w:pPr>
        <w:snapToGrid w:val="0"/>
        <w:spacing w:line="360" w:lineRule="auto"/>
        <w:ind w:firstLine="280" w:firstLineChars="100"/>
        <w:rPr>
          <w:rFonts w:ascii="宋体" w:hAnsi="宋体" w:cs="宋体"/>
          <w:color w:val="auto"/>
          <w:sz w:val="28"/>
          <w:szCs w:val="28"/>
        </w:rPr>
      </w:pPr>
      <w:r>
        <w:rPr>
          <w:rFonts w:hint="eastAsia" w:ascii="宋体" w:hAnsi="宋体" w:cs="宋体"/>
          <w:color w:val="auto"/>
          <w:sz w:val="28"/>
          <w:szCs w:val="28"/>
        </w:rPr>
        <w:t>法定代表人或其授权                法定代表人或其授权</w:t>
      </w:r>
    </w:p>
    <w:p w14:paraId="147FB960">
      <w:pPr>
        <w:snapToGrid w:val="0"/>
        <w:spacing w:line="360" w:lineRule="auto"/>
        <w:ind w:firstLine="280" w:firstLineChars="100"/>
        <w:rPr>
          <w:rFonts w:ascii="宋体" w:hAnsi="宋体" w:cs="宋体"/>
          <w:color w:val="auto"/>
          <w:sz w:val="28"/>
          <w:szCs w:val="28"/>
        </w:rPr>
      </w:pPr>
      <w:r>
        <w:rPr>
          <w:rFonts w:hint="eastAsia" w:ascii="宋体" w:hAnsi="宋体" w:cs="宋体"/>
          <w:color w:val="auto"/>
          <w:sz w:val="28"/>
          <w:szCs w:val="28"/>
        </w:rPr>
        <w:t>的代理人：</w:t>
      </w:r>
      <w:r>
        <w:rPr>
          <w:rFonts w:hint="eastAsia" w:ascii="宋体" w:hAnsi="宋体" w:cs="宋体"/>
          <w:color w:val="auto"/>
          <w:sz w:val="28"/>
          <w:szCs w:val="28"/>
          <w:u w:val="single"/>
        </w:rPr>
        <w:t xml:space="preserve">（签字） </w:t>
      </w:r>
      <w:r>
        <w:rPr>
          <w:rFonts w:ascii="宋体" w:hAnsi="宋体" w:cs="宋体"/>
          <w:color w:val="auto"/>
          <w:sz w:val="28"/>
          <w:szCs w:val="28"/>
          <w:u w:val="single"/>
        </w:rPr>
        <w:t xml:space="preserve">    </w:t>
      </w: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的代理人：</w:t>
      </w:r>
      <w:r>
        <w:rPr>
          <w:rFonts w:hint="eastAsia" w:ascii="宋体" w:hAnsi="宋体" w:cs="宋体"/>
          <w:color w:val="auto"/>
          <w:sz w:val="28"/>
          <w:szCs w:val="28"/>
          <w:u w:val="single"/>
        </w:rPr>
        <w:t xml:space="preserve">（签字） </w:t>
      </w:r>
      <w:r>
        <w:rPr>
          <w:rFonts w:ascii="宋体" w:hAnsi="宋体" w:cs="宋体"/>
          <w:color w:val="auto"/>
          <w:sz w:val="28"/>
          <w:szCs w:val="28"/>
          <w:u w:val="single"/>
        </w:rPr>
        <w:t xml:space="preserve">  </w:t>
      </w:r>
      <w:r>
        <w:rPr>
          <w:rFonts w:hint="eastAsia" w:ascii="宋体" w:hAnsi="宋体" w:cs="宋体"/>
          <w:color w:val="auto"/>
          <w:sz w:val="28"/>
          <w:szCs w:val="28"/>
          <w:u w:val="single"/>
        </w:rPr>
        <w:t xml:space="preserve"> </w:t>
      </w:r>
      <w:r>
        <w:rPr>
          <w:rFonts w:ascii="宋体" w:hAnsi="宋体" w:cs="宋体"/>
          <w:color w:val="auto"/>
          <w:sz w:val="28"/>
          <w:szCs w:val="28"/>
          <w:u w:val="single"/>
        </w:rPr>
        <w:t xml:space="preserve">        </w:t>
      </w:r>
      <w:r>
        <w:rPr>
          <w:rFonts w:hint="eastAsia" w:ascii="宋体" w:hAnsi="宋体" w:cs="宋体"/>
          <w:color w:val="auto"/>
          <w:sz w:val="28"/>
          <w:szCs w:val="28"/>
          <w:u w:val="single"/>
        </w:rPr>
        <w:t xml:space="preserve">   </w:t>
      </w:r>
    </w:p>
    <w:p w14:paraId="2567DAD8">
      <w:pPr>
        <w:adjustRightInd w:val="0"/>
        <w:snapToGrid w:val="0"/>
        <w:spacing w:line="360" w:lineRule="auto"/>
        <w:ind w:firstLine="415" w:firstLineChars="198"/>
        <w:rPr>
          <w:rFonts w:ascii="宋体" w:hAnsi="宋体" w:cs="宋体"/>
          <w:color w:val="auto"/>
          <w:u w:val="single"/>
        </w:rPr>
      </w:pPr>
    </w:p>
    <w:p w14:paraId="6280DA5C">
      <w:pPr>
        <w:rPr>
          <w:rFonts w:ascii="宋体" w:hAnsi="宋体" w:cs="宋体"/>
          <w:b/>
          <w:color w:val="auto"/>
          <w:sz w:val="44"/>
          <w:szCs w:val="44"/>
        </w:rPr>
      </w:pPr>
    </w:p>
    <w:p w14:paraId="6EE7C653">
      <w:pPr>
        <w:rPr>
          <w:rFonts w:ascii="宋体" w:hAnsi="宋体" w:cs="宋体"/>
          <w:b/>
          <w:color w:val="auto"/>
          <w:sz w:val="44"/>
          <w:szCs w:val="44"/>
        </w:rPr>
      </w:pPr>
    </w:p>
    <w:p w14:paraId="26F81A9A">
      <w:pPr>
        <w:rPr>
          <w:rFonts w:ascii="宋体" w:hAnsi="宋体" w:cs="宋体"/>
          <w:b/>
          <w:color w:val="auto"/>
          <w:sz w:val="44"/>
          <w:szCs w:val="44"/>
        </w:rPr>
      </w:pPr>
    </w:p>
    <w:p w14:paraId="1FCC5954">
      <w:pPr>
        <w:rPr>
          <w:rFonts w:ascii="宋体" w:hAnsi="宋体" w:cs="宋体"/>
          <w:b/>
          <w:color w:val="auto"/>
          <w:sz w:val="44"/>
          <w:szCs w:val="44"/>
        </w:rPr>
      </w:pPr>
    </w:p>
    <w:p w14:paraId="0FE92093">
      <w:pPr>
        <w:rPr>
          <w:rFonts w:ascii="宋体" w:hAnsi="宋体" w:cs="宋体"/>
          <w:b/>
          <w:color w:val="auto"/>
          <w:sz w:val="44"/>
          <w:szCs w:val="44"/>
        </w:rPr>
      </w:pPr>
    </w:p>
    <w:p w14:paraId="2C92BEB6">
      <w:pPr>
        <w:rPr>
          <w:rFonts w:ascii="宋体" w:hAnsi="宋体" w:cs="宋体"/>
          <w:b/>
          <w:color w:val="auto"/>
          <w:sz w:val="44"/>
          <w:szCs w:val="44"/>
        </w:rPr>
      </w:pPr>
    </w:p>
    <w:p w14:paraId="56641B44">
      <w:pPr>
        <w:rPr>
          <w:rFonts w:ascii="宋体" w:hAnsi="宋体" w:cs="宋体"/>
          <w:b/>
          <w:color w:val="auto"/>
          <w:sz w:val="44"/>
          <w:szCs w:val="44"/>
        </w:rPr>
      </w:pPr>
    </w:p>
    <w:p w14:paraId="5D4A7D9B">
      <w:pPr>
        <w:pStyle w:val="2"/>
        <w:rPr>
          <w:color w:val="auto"/>
        </w:rPr>
      </w:pPr>
    </w:p>
    <w:p w14:paraId="6DCF9BDA">
      <w:pPr>
        <w:rPr>
          <w:color w:val="auto"/>
        </w:rPr>
        <w:sectPr>
          <w:pgSz w:w="11906" w:h="16838"/>
          <w:pgMar w:top="1440" w:right="1800" w:bottom="1440" w:left="1800" w:header="851" w:footer="992" w:gutter="0"/>
          <w:cols w:space="425" w:num="1"/>
          <w:docGrid w:type="lines" w:linePitch="312" w:charSpace="0"/>
        </w:sectPr>
      </w:pPr>
    </w:p>
    <w:p w14:paraId="53C6B684">
      <w:pPr>
        <w:rPr>
          <w:color w:val="auto"/>
        </w:rPr>
      </w:pPr>
    </w:p>
    <w:p w14:paraId="7C37B5B4">
      <w:pPr>
        <w:rPr>
          <w:rFonts w:ascii="宋体" w:hAnsi="宋体" w:cs="宋体"/>
          <w:b/>
          <w:color w:val="auto"/>
          <w:sz w:val="24"/>
        </w:rPr>
      </w:pPr>
      <w:r>
        <w:rPr>
          <w:rFonts w:hint="eastAsia" w:ascii="宋体" w:hAnsi="宋体" w:cs="宋体"/>
          <w:b/>
          <w:color w:val="auto"/>
          <w:sz w:val="24"/>
        </w:rPr>
        <w:t>附件：服务清单</w:t>
      </w:r>
    </w:p>
    <w:tbl>
      <w:tblPr>
        <w:tblStyle w:val="5"/>
        <w:tblW w:w="145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0"/>
        <w:gridCol w:w="1480"/>
        <w:gridCol w:w="1180"/>
        <w:gridCol w:w="1180"/>
        <w:gridCol w:w="6860"/>
        <w:gridCol w:w="960"/>
        <w:gridCol w:w="960"/>
        <w:gridCol w:w="960"/>
      </w:tblGrid>
      <w:tr w14:paraId="0B511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60" w:type="dxa"/>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5C83C0F">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序号</w:t>
            </w:r>
          </w:p>
        </w:tc>
        <w:tc>
          <w:tcPr>
            <w:tcW w:w="14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7AE2FB7">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名称</w:t>
            </w:r>
          </w:p>
        </w:tc>
        <w:tc>
          <w:tcPr>
            <w:tcW w:w="9220" w:type="dxa"/>
            <w:gridSpan w:val="3"/>
            <w:tcBorders>
              <w:top w:val="single" w:color="000000" w:sz="12" w:space="0"/>
              <w:left w:val="single" w:color="000000" w:sz="12" w:space="0"/>
              <w:bottom w:val="single" w:color="000000" w:sz="12" w:space="0"/>
              <w:right w:val="single" w:color="000000" w:sz="12" w:space="0"/>
            </w:tcBorders>
            <w:shd w:val="clear" w:color="auto" w:fill="auto"/>
            <w:vAlign w:val="center"/>
          </w:tcPr>
          <w:p w14:paraId="1C5661B2">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功能和服务内容描述</w:t>
            </w:r>
          </w:p>
        </w:tc>
        <w:tc>
          <w:tcPr>
            <w:tcW w:w="9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49FB5A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9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D7824E6">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9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BC7827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价格（元）</w:t>
            </w:r>
          </w:p>
        </w:tc>
      </w:tr>
      <w:tr w14:paraId="577E5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gridSpan w:val="8"/>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5B77BFF">
            <w:pPr>
              <w:keepNext w:val="0"/>
              <w:keepLines w:val="0"/>
              <w:widowControl/>
              <w:suppressLineNumbers w:val="0"/>
              <w:jc w:val="left"/>
              <w:textAlignment w:val="center"/>
              <w:rPr>
                <w:rFonts w:ascii="楷体_GB2312" w:hAnsi="宋体" w:eastAsia="楷体_GB2312" w:cs="楷体_GB2312"/>
                <w:i w:val="0"/>
                <w:iCs w:val="0"/>
                <w:color w:val="auto"/>
                <w:sz w:val="32"/>
                <w:szCs w:val="32"/>
                <w:u w:val="none"/>
              </w:rPr>
            </w:pPr>
            <w:r>
              <w:rPr>
                <w:rFonts w:hint="default" w:ascii="楷体_GB2312" w:hAnsi="宋体" w:eastAsia="楷体_GB2312" w:cs="楷体_GB2312"/>
                <w:i w:val="0"/>
                <w:iCs w:val="0"/>
                <w:color w:val="auto"/>
                <w:kern w:val="0"/>
                <w:sz w:val="32"/>
                <w:szCs w:val="32"/>
                <w:u w:val="none"/>
                <w:lang w:val="en-US" w:eastAsia="zh-CN" w:bidi="ar"/>
              </w:rPr>
              <w:t>一、防返贫监测预警平台及配套运维服务</w:t>
            </w:r>
          </w:p>
        </w:tc>
      </w:tr>
      <w:tr w14:paraId="23F67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9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0C5EA64B">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4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305D68D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数据中心</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D638A1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户情</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33FDF712">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提供“户情”数据查询管理服务，数据内容包括但不限于辖区内农户基础信息、家庭劳动力与务工情况、家庭健康情况、教育情况、家庭成员、生产生活条件、收支监测。户厕改造等</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098AB6A">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A2DD5CE">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60BDF8E">
            <w:pPr>
              <w:rPr>
                <w:rFonts w:hint="eastAsia" w:ascii="宋体" w:hAnsi="宋体" w:eastAsia="宋体" w:cs="宋体"/>
                <w:i w:val="0"/>
                <w:iCs w:val="0"/>
                <w:color w:val="auto"/>
                <w:sz w:val="22"/>
                <w:szCs w:val="22"/>
                <w:u w:val="none"/>
              </w:rPr>
            </w:pPr>
          </w:p>
        </w:tc>
      </w:tr>
      <w:tr w14:paraId="7E6EC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9846355">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4B1F202">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D0930B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村情</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11EBB2C7">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提供“村情”数据查询管理服务，数据内容包括但不限于辖区内行政村人口信息、发展现状、生产条件、村情简介、村规民约、产业资源、村需求、乡村工作队列表和村务公开等</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7098F1C">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520B90B">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007A33D">
            <w:pPr>
              <w:rPr>
                <w:rFonts w:hint="eastAsia" w:ascii="宋体" w:hAnsi="宋体" w:eastAsia="宋体" w:cs="宋体"/>
                <w:i w:val="0"/>
                <w:iCs w:val="0"/>
                <w:color w:val="auto"/>
                <w:sz w:val="22"/>
                <w:szCs w:val="22"/>
                <w:u w:val="none"/>
              </w:rPr>
            </w:pPr>
          </w:p>
        </w:tc>
      </w:tr>
      <w:tr w14:paraId="0DF66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78B5852">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3FBCC3B">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8E66A1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镇情</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4AF2F6D2">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提供“镇情”数据查询管理服务，数据内容包括但不限于辖区内各镇人口信息、生产生活条件、发展现状和镇情简介等</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E315E04">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9560124">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62653D6">
            <w:pPr>
              <w:rPr>
                <w:rFonts w:hint="eastAsia" w:ascii="宋体" w:hAnsi="宋体" w:eastAsia="宋体" w:cs="宋体"/>
                <w:i w:val="0"/>
                <w:iCs w:val="0"/>
                <w:color w:val="auto"/>
                <w:sz w:val="22"/>
                <w:szCs w:val="22"/>
                <w:u w:val="none"/>
              </w:rPr>
            </w:pPr>
          </w:p>
        </w:tc>
      </w:tr>
      <w:tr w14:paraId="66226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B44A888">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A1AD344">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D911DE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县情</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1416F616">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提供“县情”数据查询管理服务，数据内容包括但不限于辖区内人口信息、生产条件、县情简介、生产总值和重点工作、新增等</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C25B31A">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3FCBA6A">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0348101">
            <w:pPr>
              <w:rPr>
                <w:rFonts w:hint="eastAsia" w:ascii="宋体" w:hAnsi="宋体" w:eastAsia="宋体" w:cs="宋体"/>
                <w:i w:val="0"/>
                <w:iCs w:val="0"/>
                <w:color w:val="auto"/>
                <w:sz w:val="22"/>
                <w:szCs w:val="22"/>
                <w:u w:val="none"/>
              </w:rPr>
            </w:pPr>
          </w:p>
        </w:tc>
      </w:tr>
      <w:tr w14:paraId="114C6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9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5477C7A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4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375F9C2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决策分析</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32D730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巩固成果</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093CBCBF">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提供“巩固成果”功能服务，对宏观数据进行可视化展示。主要包括从基础数据、风险监测、收入监测、帮扶措施、外出务工、网格管理和采集进度7个维度进行宏观数据展示。</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DD2ADD0">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88CDDD6">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DF102E5">
            <w:pPr>
              <w:rPr>
                <w:rFonts w:hint="eastAsia" w:ascii="宋体" w:hAnsi="宋体" w:eastAsia="宋体" w:cs="宋体"/>
                <w:i w:val="0"/>
                <w:iCs w:val="0"/>
                <w:color w:val="auto"/>
                <w:sz w:val="22"/>
                <w:szCs w:val="22"/>
                <w:u w:val="none"/>
              </w:rPr>
            </w:pPr>
          </w:p>
        </w:tc>
      </w:tr>
      <w:tr w14:paraId="04170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8997B13">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15768DF">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694F309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数字地图</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531D99A9">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提供“数字地图”功能服务，按照不同农户类型结合行政区划地图，通过数图联动的形式展示区域性相关信息，可通过矢量图或卫星图的方式查询指定区划的农户分布信息</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B3DB0F1">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CE00D1F">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70BBBBB">
            <w:pPr>
              <w:rPr>
                <w:rFonts w:hint="eastAsia" w:ascii="宋体" w:hAnsi="宋体" w:eastAsia="宋体" w:cs="宋体"/>
                <w:i w:val="0"/>
                <w:iCs w:val="0"/>
                <w:color w:val="auto"/>
                <w:sz w:val="22"/>
                <w:szCs w:val="22"/>
                <w:u w:val="none"/>
              </w:rPr>
            </w:pPr>
          </w:p>
        </w:tc>
      </w:tr>
      <w:tr w14:paraId="589A8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1A58C85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4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4FBCAA5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防返贫预警</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5CC62E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风险研判</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1F2B0B86">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提供“风险研判”功能服务，对不同渠道获取的风险信息进行信息化管理</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4FAD8B7">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F606B4F">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E7215A4">
            <w:pPr>
              <w:rPr>
                <w:rFonts w:hint="eastAsia" w:ascii="宋体" w:hAnsi="宋体" w:eastAsia="宋体" w:cs="宋体"/>
                <w:i w:val="0"/>
                <w:iCs w:val="0"/>
                <w:color w:val="auto"/>
                <w:sz w:val="22"/>
                <w:szCs w:val="22"/>
                <w:u w:val="none"/>
              </w:rPr>
            </w:pPr>
          </w:p>
        </w:tc>
      </w:tr>
      <w:tr w14:paraId="7A669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F9F0A40">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C664383">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F56814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工单管理</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7D9DF140">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提供“工单管理”功能服务，对风险信息以工单的形式进行流程跟踪</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0E91838">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BA3E3A2">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A8CFDBA">
            <w:pPr>
              <w:rPr>
                <w:rFonts w:hint="eastAsia" w:ascii="宋体" w:hAnsi="宋体" w:eastAsia="宋体" w:cs="宋体"/>
                <w:i w:val="0"/>
                <w:iCs w:val="0"/>
                <w:color w:val="auto"/>
                <w:sz w:val="22"/>
                <w:szCs w:val="22"/>
                <w:u w:val="none"/>
              </w:rPr>
            </w:pPr>
          </w:p>
        </w:tc>
      </w:tr>
      <w:tr w14:paraId="4EDF3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B2063AC">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023CFA4">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6DFBCA9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网格管理</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36ED6EDC">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为用户提供“网格管理”功能服务，推行网格化管理，确定网格管理范围，全面落实监测帮扶责任，对网格员进行管理</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E49F7EE">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45BC0FE">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C508663">
            <w:pPr>
              <w:rPr>
                <w:rFonts w:hint="eastAsia" w:ascii="宋体" w:hAnsi="宋体" w:eastAsia="宋体" w:cs="宋体"/>
                <w:i w:val="0"/>
                <w:iCs w:val="0"/>
                <w:color w:val="auto"/>
                <w:sz w:val="22"/>
                <w:szCs w:val="22"/>
                <w:u w:val="none"/>
              </w:rPr>
            </w:pPr>
          </w:p>
        </w:tc>
      </w:tr>
      <w:tr w14:paraId="2B6F7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7819159">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9E67C71">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7C72A72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驻村帮扶</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4537AC95">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提供“驻村帮扶”功能服务，管理驻村力量，落实四不摘政策</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8F0FF35">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2CE6205">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6DA68BB">
            <w:pPr>
              <w:rPr>
                <w:rFonts w:hint="eastAsia" w:ascii="宋体" w:hAnsi="宋体" w:eastAsia="宋体" w:cs="宋体"/>
                <w:i w:val="0"/>
                <w:iCs w:val="0"/>
                <w:color w:val="auto"/>
                <w:sz w:val="22"/>
                <w:szCs w:val="22"/>
                <w:u w:val="none"/>
              </w:rPr>
            </w:pPr>
          </w:p>
        </w:tc>
      </w:tr>
      <w:tr w14:paraId="71B9E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58898BC">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CE5D2E6">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3163270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随机抽查</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40F9D832">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提供“随机抽查”功能服务，随机进行户抽查、村抽查、县抽查，实现全区覆盖</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54318D5">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433A56E">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551F854">
            <w:pPr>
              <w:rPr>
                <w:rFonts w:hint="eastAsia" w:ascii="宋体" w:hAnsi="宋体" w:eastAsia="宋体" w:cs="宋体"/>
                <w:i w:val="0"/>
                <w:iCs w:val="0"/>
                <w:color w:val="auto"/>
                <w:sz w:val="22"/>
                <w:szCs w:val="22"/>
                <w:u w:val="none"/>
              </w:rPr>
            </w:pPr>
          </w:p>
        </w:tc>
      </w:tr>
      <w:tr w14:paraId="147DA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691F539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4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2F51FD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问题整改</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E581C7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督查巡查</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626DC267">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建设问题整改数据库，将各级各类反馈问题纳入数据库，实行清单式管理，及时督查督办</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1ACD066">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1F37C08">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B6990F3">
            <w:pPr>
              <w:rPr>
                <w:rFonts w:hint="eastAsia" w:ascii="宋体" w:hAnsi="宋体" w:eastAsia="宋体" w:cs="宋体"/>
                <w:i w:val="0"/>
                <w:iCs w:val="0"/>
                <w:color w:val="auto"/>
                <w:sz w:val="22"/>
                <w:szCs w:val="22"/>
                <w:u w:val="none"/>
              </w:rPr>
            </w:pPr>
          </w:p>
        </w:tc>
      </w:tr>
      <w:tr w14:paraId="710DC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9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957257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4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BA17F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统计分析</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A4D1E8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统计分析</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0D25381A">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统计分析”功能服务，协助用户进行防返贫预警监测工作的全流程动态化管理，具体子功能包括周统计（分片区统计、动态调整统计、风险消除统计、工作推进统计）、农户采集汇总、农户采集进度和灾情统计等</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E310CC3">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D4C535E">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2A64D4F">
            <w:pPr>
              <w:rPr>
                <w:rFonts w:hint="eastAsia" w:ascii="宋体" w:hAnsi="宋体" w:eastAsia="宋体" w:cs="宋体"/>
                <w:i w:val="0"/>
                <w:iCs w:val="0"/>
                <w:color w:val="auto"/>
                <w:sz w:val="22"/>
                <w:szCs w:val="22"/>
                <w:u w:val="none"/>
              </w:rPr>
            </w:pPr>
          </w:p>
        </w:tc>
      </w:tr>
      <w:tr w14:paraId="70AAB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9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38AEE05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w:t>
            </w: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AB7E8C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项目管理</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020375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资金管理</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25FC9704">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资金到账查询、下拨查询、汇总查询；</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316AF68">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BDC9E03">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CB926E5">
            <w:pPr>
              <w:rPr>
                <w:rFonts w:hint="eastAsia" w:ascii="宋体" w:hAnsi="宋体" w:eastAsia="宋体" w:cs="宋体"/>
                <w:i w:val="0"/>
                <w:iCs w:val="0"/>
                <w:color w:val="auto"/>
                <w:sz w:val="22"/>
                <w:szCs w:val="22"/>
                <w:u w:val="none"/>
              </w:rPr>
            </w:pPr>
          </w:p>
        </w:tc>
      </w:tr>
      <w:tr w14:paraId="6F1F9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0954F70">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6325AD9">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68861E2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项目管理</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04C9BCB7">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项目统计、实施项目、项目总投资、项目总计；</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1E3DCB4">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E844687">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33D0629">
            <w:pPr>
              <w:rPr>
                <w:rFonts w:hint="eastAsia" w:ascii="宋体" w:hAnsi="宋体" w:eastAsia="宋体" w:cs="宋体"/>
                <w:i w:val="0"/>
                <w:iCs w:val="0"/>
                <w:color w:val="auto"/>
                <w:sz w:val="22"/>
                <w:szCs w:val="22"/>
                <w:u w:val="none"/>
              </w:rPr>
            </w:pPr>
          </w:p>
        </w:tc>
      </w:tr>
      <w:tr w14:paraId="4D0CE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9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5A13EAE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7</w:t>
            </w:r>
          </w:p>
        </w:tc>
        <w:tc>
          <w:tcPr>
            <w:tcW w:w="14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6A1F652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系统管理</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7B6FE4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系统管理</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0AAFDE49">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用户使用问题收集管理、反馈英雄榜；</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F6FD7AC">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CE66457">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48DC06E">
            <w:pPr>
              <w:rPr>
                <w:rFonts w:hint="eastAsia" w:ascii="宋体" w:hAnsi="宋体" w:eastAsia="宋体" w:cs="宋体"/>
                <w:i w:val="0"/>
                <w:iCs w:val="0"/>
                <w:color w:val="auto"/>
                <w:sz w:val="22"/>
                <w:szCs w:val="22"/>
                <w:u w:val="none"/>
              </w:rPr>
            </w:pPr>
          </w:p>
        </w:tc>
      </w:tr>
      <w:tr w14:paraId="6B5CF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2794E8D">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4196AE4">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BF68F3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信息维护</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36BB8DD4">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定期更新与维护，使其保持正常状态，保证信息的准确、及时、安全和保密</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1935668">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1BF1133">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340E1D1">
            <w:pPr>
              <w:rPr>
                <w:rFonts w:hint="eastAsia" w:ascii="宋体" w:hAnsi="宋体" w:eastAsia="宋体" w:cs="宋体"/>
                <w:i w:val="0"/>
                <w:iCs w:val="0"/>
                <w:color w:val="auto"/>
                <w:sz w:val="22"/>
                <w:szCs w:val="22"/>
                <w:u w:val="none"/>
              </w:rPr>
            </w:pPr>
          </w:p>
        </w:tc>
      </w:tr>
      <w:tr w14:paraId="158E9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0" w:type="auto"/>
            <w:gridSpan w:val="8"/>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B0B684A">
            <w:pPr>
              <w:keepNext w:val="0"/>
              <w:keepLines w:val="0"/>
              <w:widowControl/>
              <w:suppressLineNumbers w:val="0"/>
              <w:jc w:val="left"/>
              <w:textAlignment w:val="center"/>
              <w:rPr>
                <w:rFonts w:hint="default" w:ascii="楷体_GB2312" w:hAnsi="宋体" w:eastAsia="楷体_GB2312" w:cs="楷体_GB2312"/>
                <w:i w:val="0"/>
                <w:iCs w:val="0"/>
                <w:color w:val="auto"/>
                <w:sz w:val="32"/>
                <w:szCs w:val="32"/>
                <w:u w:val="none"/>
              </w:rPr>
            </w:pPr>
            <w:r>
              <w:rPr>
                <w:rFonts w:hint="default" w:ascii="楷体_GB2312" w:hAnsi="宋体" w:eastAsia="楷体_GB2312" w:cs="楷体_GB2312"/>
                <w:i w:val="0"/>
                <w:iCs w:val="0"/>
                <w:color w:val="auto"/>
                <w:kern w:val="0"/>
                <w:sz w:val="32"/>
                <w:szCs w:val="32"/>
                <w:u w:val="none"/>
                <w:lang w:val="en-US" w:eastAsia="zh-CN" w:bidi="ar"/>
              </w:rPr>
              <w:t>二、网络传输及数据大屏维护</w:t>
            </w:r>
          </w:p>
        </w:tc>
      </w:tr>
      <w:tr w14:paraId="06156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9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F5A797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4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E9D5E7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网络传输</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9DD58D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光纤专线</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5564F9DC">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1年100M互联网光纤专线保障</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BEFF1D2">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8693F4E">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2CF2708">
            <w:pPr>
              <w:rPr>
                <w:rFonts w:hint="eastAsia" w:ascii="宋体" w:hAnsi="宋体" w:eastAsia="宋体" w:cs="宋体"/>
                <w:i w:val="0"/>
                <w:iCs w:val="0"/>
                <w:color w:val="auto"/>
                <w:sz w:val="22"/>
                <w:szCs w:val="22"/>
                <w:u w:val="none"/>
              </w:rPr>
            </w:pPr>
          </w:p>
        </w:tc>
      </w:tr>
      <w:tr w14:paraId="0DE08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4891B8D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4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F80C71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设备维护</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65768C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数据大屏维护</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top"/>
          </w:tcPr>
          <w:p w14:paraId="6B2D61FE">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为客户单位可视化展示系统及用于连接市农业农村局的视频会议系统和连接的电脑控制 维护和技术支持服务，软件系统的使用问题解答、系统漏洞的修复、系统本身的缺陷而引起的问题及妨碍系统正常使用的其它问题。</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B6FD94A">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6C6EC5A">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B294CDF">
            <w:pPr>
              <w:rPr>
                <w:rFonts w:hint="eastAsia" w:ascii="宋体" w:hAnsi="宋体" w:eastAsia="宋体" w:cs="宋体"/>
                <w:i w:val="0"/>
                <w:iCs w:val="0"/>
                <w:color w:val="auto"/>
                <w:sz w:val="22"/>
                <w:szCs w:val="22"/>
                <w:u w:val="none"/>
              </w:rPr>
            </w:pPr>
          </w:p>
        </w:tc>
      </w:tr>
      <w:tr w14:paraId="5B36C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gridSpan w:val="8"/>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B38E992">
            <w:pPr>
              <w:keepNext w:val="0"/>
              <w:keepLines w:val="0"/>
              <w:widowControl/>
              <w:suppressLineNumbers w:val="0"/>
              <w:jc w:val="left"/>
              <w:textAlignment w:val="center"/>
              <w:rPr>
                <w:rFonts w:hint="default" w:ascii="楷体_GB2312" w:hAnsi="宋体" w:eastAsia="楷体_GB2312" w:cs="楷体_GB2312"/>
                <w:i w:val="0"/>
                <w:iCs w:val="0"/>
                <w:color w:val="auto"/>
                <w:sz w:val="32"/>
                <w:szCs w:val="32"/>
                <w:u w:val="none"/>
              </w:rPr>
            </w:pPr>
            <w:r>
              <w:rPr>
                <w:rFonts w:hint="default" w:ascii="楷体_GB2312" w:hAnsi="宋体" w:eastAsia="楷体_GB2312" w:cs="楷体_GB2312"/>
                <w:i w:val="0"/>
                <w:iCs w:val="0"/>
                <w:color w:val="auto"/>
                <w:kern w:val="0"/>
                <w:sz w:val="32"/>
                <w:szCs w:val="32"/>
                <w:u w:val="none"/>
                <w:lang w:val="en-US" w:eastAsia="zh-CN" w:bidi="ar"/>
              </w:rPr>
              <w:t>三、技术培训</w:t>
            </w:r>
          </w:p>
        </w:tc>
      </w:tr>
      <w:tr w14:paraId="506CF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62ECD7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FB5CC8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培训</w:t>
            </w:r>
          </w:p>
        </w:tc>
        <w:tc>
          <w:tcPr>
            <w:tcW w:w="0" w:type="auto"/>
            <w:tcBorders>
              <w:top w:val="nil"/>
              <w:left w:val="nil"/>
              <w:bottom w:val="nil"/>
              <w:right w:val="nil"/>
            </w:tcBorders>
            <w:shd w:val="clear" w:color="auto" w:fill="auto"/>
            <w:noWrap/>
            <w:vAlign w:val="center"/>
          </w:tcPr>
          <w:p w14:paraId="2A128681">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人员培训</w:t>
            </w:r>
          </w:p>
        </w:tc>
        <w:tc>
          <w:tcPr>
            <w:tcW w:w="8040"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14:paraId="70A4151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提供系统升级更新后的操作使用培训、乡村振兴相关业务工作的培训，提供2人及以上人员的快速响应，30分钟内响应,同时现场支撑不少于2人，协助完成信息采集操作服务。</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6F602B7">
            <w:pPr>
              <w:rPr>
                <w:rFonts w:hint="eastAsia" w:ascii="仿宋" w:hAnsi="仿宋" w:eastAsia="仿宋" w:cs="仿宋"/>
                <w:i w:val="0"/>
                <w:iCs w:val="0"/>
                <w:color w:val="auto"/>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DC784EB">
            <w:pPr>
              <w:rPr>
                <w:rFonts w:hint="eastAsia" w:ascii="仿宋" w:hAnsi="仿宋" w:eastAsia="仿宋" w:cs="仿宋"/>
                <w:i w:val="0"/>
                <w:iCs w:val="0"/>
                <w:color w:val="auto"/>
                <w:sz w:val="24"/>
                <w:szCs w:val="24"/>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B5869CC">
            <w:pPr>
              <w:rPr>
                <w:rFonts w:hint="eastAsia" w:ascii="仿宋" w:hAnsi="仿宋" w:eastAsia="仿宋" w:cs="仿宋"/>
                <w:i w:val="0"/>
                <w:iCs w:val="0"/>
                <w:color w:val="auto"/>
                <w:sz w:val="24"/>
                <w:szCs w:val="24"/>
                <w:u w:val="none"/>
              </w:rPr>
            </w:pPr>
          </w:p>
        </w:tc>
      </w:tr>
      <w:tr w14:paraId="30E9E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0" w:type="auto"/>
            <w:gridSpan w:val="8"/>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6AD5012">
            <w:pPr>
              <w:keepNext w:val="0"/>
              <w:keepLines w:val="0"/>
              <w:widowControl/>
              <w:suppressLineNumbers w:val="0"/>
              <w:jc w:val="left"/>
              <w:textAlignment w:val="center"/>
              <w:rPr>
                <w:rFonts w:hint="default" w:ascii="楷体_GB2312" w:hAnsi="宋体" w:eastAsia="楷体_GB2312" w:cs="楷体_GB2312"/>
                <w:i w:val="0"/>
                <w:iCs w:val="0"/>
                <w:color w:val="auto"/>
                <w:sz w:val="32"/>
                <w:szCs w:val="32"/>
                <w:u w:val="none"/>
              </w:rPr>
            </w:pPr>
            <w:r>
              <w:rPr>
                <w:rFonts w:hint="default" w:ascii="楷体_GB2312" w:hAnsi="宋体" w:eastAsia="楷体_GB2312" w:cs="楷体_GB2312"/>
                <w:i w:val="0"/>
                <w:iCs w:val="0"/>
                <w:color w:val="auto"/>
                <w:kern w:val="0"/>
                <w:sz w:val="32"/>
                <w:szCs w:val="32"/>
                <w:u w:val="none"/>
                <w:lang w:val="en-US" w:eastAsia="zh-CN" w:bidi="ar"/>
              </w:rPr>
              <w:t>四、原有平台功能优化及新增</w:t>
            </w:r>
          </w:p>
        </w:tc>
      </w:tr>
      <w:tr w14:paraId="4C76A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9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71BE52A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4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748D5A7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防止返贫致贫预警模块优化</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4708FD3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数据中心子系统</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118A0D8C">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数据中心</w:t>
            </w:r>
          </w:p>
        </w:tc>
        <w:tc>
          <w:tcPr>
            <w:tcW w:w="6860" w:type="dxa"/>
            <w:tcBorders>
              <w:top w:val="single" w:color="000000" w:sz="12" w:space="0"/>
              <w:left w:val="single" w:color="000000" w:sz="12" w:space="0"/>
              <w:bottom w:val="single" w:color="000000" w:sz="12" w:space="0"/>
              <w:right w:val="single" w:color="000000" w:sz="12" w:space="0"/>
            </w:tcBorders>
            <w:shd w:val="clear" w:color="auto" w:fill="auto"/>
            <w:vAlign w:val="top"/>
          </w:tcPr>
          <w:p w14:paraId="376693F8">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在原有农户数据基础上，通过共享交换平台对接行业部门数据，完善农户信息。形成完善的农户基础数据库。</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02CBF4E">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243F675">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0F53D11">
            <w:pPr>
              <w:rPr>
                <w:rFonts w:hint="eastAsia" w:ascii="宋体" w:hAnsi="宋体" w:eastAsia="宋体" w:cs="宋体"/>
                <w:i w:val="0"/>
                <w:iCs w:val="0"/>
                <w:color w:val="auto"/>
                <w:sz w:val="22"/>
                <w:szCs w:val="22"/>
                <w:u w:val="none"/>
              </w:rPr>
            </w:pPr>
          </w:p>
        </w:tc>
      </w:tr>
      <w:tr w14:paraId="724AD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DE4C64E">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3CD135C">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C75C10F">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29108A3">
            <w:pPr>
              <w:jc w:val="left"/>
              <w:rPr>
                <w:rFonts w:hint="eastAsia" w:ascii="仿宋" w:hAnsi="仿宋" w:eastAsia="仿宋" w:cs="仿宋"/>
                <w:i w:val="0"/>
                <w:iCs w:val="0"/>
                <w:color w:val="auto"/>
                <w:sz w:val="24"/>
                <w:szCs w:val="24"/>
                <w:u w:val="none"/>
              </w:rPr>
            </w:pPr>
          </w:p>
        </w:tc>
        <w:tc>
          <w:tcPr>
            <w:tcW w:w="68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top"/>
          </w:tcPr>
          <w:p w14:paraId="5E4AA06F">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提升行业部门数据的及时性、减轻基层工作人员重复研判的问题。作为试点为宝鸡市开放市、县两级行业部门数据上传权限，并新增数据去重规则，在提升实效性的同时减轻基层负担</w:t>
            </w: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A166834">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BF5408A">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DF54E4D">
            <w:pPr>
              <w:jc w:val="center"/>
              <w:rPr>
                <w:rFonts w:hint="eastAsia" w:ascii="宋体" w:hAnsi="宋体" w:eastAsia="宋体" w:cs="宋体"/>
                <w:i w:val="0"/>
                <w:iCs w:val="0"/>
                <w:color w:val="auto"/>
                <w:sz w:val="22"/>
                <w:szCs w:val="22"/>
                <w:u w:val="none"/>
              </w:rPr>
            </w:pPr>
          </w:p>
        </w:tc>
      </w:tr>
      <w:tr w14:paraId="66612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5C2F598">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D1A2D27">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EA412F4">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A6A4FBD">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5CD8F61A">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5D72F3B">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C1B35D6">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759AA70">
            <w:pPr>
              <w:jc w:val="center"/>
              <w:rPr>
                <w:rFonts w:hint="eastAsia" w:ascii="宋体" w:hAnsi="宋体" w:eastAsia="宋体" w:cs="宋体"/>
                <w:i w:val="0"/>
                <w:iCs w:val="0"/>
                <w:color w:val="auto"/>
                <w:sz w:val="22"/>
                <w:szCs w:val="22"/>
                <w:u w:val="none"/>
              </w:rPr>
            </w:pPr>
          </w:p>
        </w:tc>
      </w:tr>
      <w:tr w14:paraId="76C2E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76CE645">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4F6D8DB">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3C10B0C">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82B6DD5">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21718B75">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CDFAF93">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18064C7">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C6BD404">
            <w:pPr>
              <w:jc w:val="center"/>
              <w:rPr>
                <w:rFonts w:hint="eastAsia" w:ascii="宋体" w:hAnsi="宋体" w:eastAsia="宋体" w:cs="宋体"/>
                <w:i w:val="0"/>
                <w:iCs w:val="0"/>
                <w:color w:val="auto"/>
                <w:sz w:val="22"/>
                <w:szCs w:val="22"/>
                <w:u w:val="none"/>
              </w:rPr>
            </w:pPr>
          </w:p>
        </w:tc>
      </w:tr>
      <w:tr w14:paraId="00EB1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579E4CF">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88BD854">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4E22184">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9540AC1">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数据对接</w:t>
            </w:r>
          </w:p>
        </w:tc>
        <w:tc>
          <w:tcPr>
            <w:tcW w:w="6860" w:type="dxa"/>
            <w:tcBorders>
              <w:top w:val="single" w:color="000000" w:sz="12" w:space="0"/>
              <w:left w:val="single" w:color="000000" w:sz="12" w:space="0"/>
              <w:bottom w:val="single" w:color="000000" w:sz="12" w:space="0"/>
              <w:right w:val="single" w:color="000000" w:sz="12" w:space="0"/>
            </w:tcBorders>
            <w:shd w:val="clear" w:color="auto" w:fill="auto"/>
            <w:vAlign w:val="top"/>
          </w:tcPr>
          <w:p w14:paraId="45C13446">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为了提升平台与国家系统之间数据的一致性，平台将与国家系统数据对接的频次由一次增加为两次。改善平台脱贫户、监测户数据的实效性</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F9D34F6">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AC232B3">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55D2554">
            <w:pPr>
              <w:rPr>
                <w:rFonts w:hint="eastAsia" w:ascii="宋体" w:hAnsi="宋体" w:eastAsia="宋体" w:cs="宋体"/>
                <w:i w:val="0"/>
                <w:iCs w:val="0"/>
                <w:color w:val="auto"/>
                <w:sz w:val="22"/>
                <w:szCs w:val="22"/>
                <w:u w:val="none"/>
              </w:rPr>
            </w:pPr>
          </w:p>
        </w:tc>
      </w:tr>
      <w:tr w14:paraId="3BC32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E2EA906">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E97403B">
            <w:pPr>
              <w:jc w:val="center"/>
              <w:rPr>
                <w:rFonts w:hint="eastAsia" w:ascii="仿宋" w:hAnsi="仿宋" w:eastAsia="仿宋" w:cs="仿宋"/>
                <w:i w:val="0"/>
                <w:iCs w:val="0"/>
                <w:color w:val="auto"/>
                <w:sz w:val="24"/>
                <w:szCs w:val="24"/>
                <w:u w:val="none"/>
              </w:rPr>
            </w:pP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2FC3402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防返贫预警子系统</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03AFC6E7">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风险预警</w:t>
            </w:r>
          </w:p>
        </w:tc>
        <w:tc>
          <w:tcPr>
            <w:tcW w:w="68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top"/>
          </w:tcPr>
          <w:p w14:paraId="5122017A">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在原有风险预警上通过对监测对象风险识别、工单研判、帮扶措施落实、风险消除全流程信息整合，形成完整的农户风险信息报告，方便各级工作人员能一页看完监测对象各阶段信息。</w:t>
            </w: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6CC5FBE">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743107D">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B411124">
            <w:pPr>
              <w:jc w:val="center"/>
              <w:rPr>
                <w:rFonts w:hint="eastAsia" w:ascii="宋体" w:hAnsi="宋体" w:eastAsia="宋体" w:cs="宋体"/>
                <w:i w:val="0"/>
                <w:iCs w:val="0"/>
                <w:color w:val="auto"/>
                <w:sz w:val="22"/>
                <w:szCs w:val="22"/>
                <w:u w:val="none"/>
              </w:rPr>
            </w:pPr>
          </w:p>
        </w:tc>
      </w:tr>
      <w:tr w14:paraId="5AC1F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9382FA2">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481F6D1">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D1A4B1D">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0E993FA">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1A135689">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0EDA47E">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5A76FE2">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7A651D2">
            <w:pPr>
              <w:jc w:val="center"/>
              <w:rPr>
                <w:rFonts w:hint="eastAsia" w:ascii="宋体" w:hAnsi="宋体" w:eastAsia="宋体" w:cs="宋体"/>
                <w:i w:val="0"/>
                <w:iCs w:val="0"/>
                <w:color w:val="auto"/>
                <w:sz w:val="22"/>
                <w:szCs w:val="22"/>
                <w:u w:val="none"/>
              </w:rPr>
            </w:pPr>
          </w:p>
        </w:tc>
      </w:tr>
      <w:tr w14:paraId="23D20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BAEFA0E">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BE109AB">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3011D29">
            <w:pPr>
              <w:jc w:val="center"/>
              <w:rPr>
                <w:rFonts w:hint="eastAsia" w:ascii="仿宋" w:hAnsi="仿宋" w:eastAsia="仿宋" w:cs="仿宋"/>
                <w:i w:val="0"/>
                <w:iCs w:val="0"/>
                <w:color w:val="auto"/>
                <w:sz w:val="24"/>
                <w:szCs w:val="24"/>
                <w:u w:val="none"/>
              </w:rPr>
            </w:pP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19D7005E">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务工监测</w:t>
            </w:r>
          </w:p>
        </w:tc>
        <w:tc>
          <w:tcPr>
            <w:tcW w:w="68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top"/>
          </w:tcPr>
          <w:p w14:paraId="32DB6FC0">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    原有系统上通过对对监测户、脱贫户务工监测信息进行分析，了解成员的务工区域、收入、时间、产业类型等方面的信息。</w:t>
            </w: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485FA98">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F0BB20F">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FE584C8">
            <w:pPr>
              <w:jc w:val="center"/>
              <w:rPr>
                <w:rFonts w:hint="eastAsia" w:ascii="宋体" w:hAnsi="宋体" w:eastAsia="宋体" w:cs="宋体"/>
                <w:i w:val="0"/>
                <w:iCs w:val="0"/>
                <w:color w:val="auto"/>
                <w:sz w:val="22"/>
                <w:szCs w:val="22"/>
                <w:u w:val="none"/>
              </w:rPr>
            </w:pPr>
          </w:p>
        </w:tc>
      </w:tr>
      <w:tr w14:paraId="137A7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1C6498A">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C110632">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BEA7B53">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5EC0E11">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6A0B66F1">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9BCDFF8">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84D955C">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3A0787E">
            <w:pPr>
              <w:jc w:val="center"/>
              <w:rPr>
                <w:rFonts w:hint="eastAsia" w:ascii="宋体" w:hAnsi="宋体" w:eastAsia="宋体" w:cs="宋体"/>
                <w:i w:val="0"/>
                <w:iCs w:val="0"/>
                <w:color w:val="auto"/>
                <w:sz w:val="22"/>
                <w:szCs w:val="22"/>
                <w:u w:val="none"/>
              </w:rPr>
            </w:pPr>
          </w:p>
        </w:tc>
      </w:tr>
      <w:tr w14:paraId="24301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42EA47F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4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740C8EC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乡村建设模块优化</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44FF39C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户厕改革子系统</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601F5D7C">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人居环境管护子系统</w:t>
            </w:r>
          </w:p>
        </w:tc>
        <w:tc>
          <w:tcPr>
            <w:tcW w:w="68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6DE89B9C">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在原有户厕、公厕数据基础上，增加厕所管护业务流程。形成覆盖厕所使用、问题上报、问题处理、改厕等环节的全过程的人居环境闭环管理流程。</w:t>
            </w:r>
          </w:p>
        </w:tc>
        <w:tc>
          <w:tcPr>
            <w:tcW w:w="0" w:type="auto"/>
            <w:vMerge w:val="restart"/>
            <w:tcBorders>
              <w:top w:val="single" w:color="000000" w:sz="12" w:space="0"/>
              <w:left w:val="single" w:color="000000" w:sz="12" w:space="0"/>
              <w:bottom w:val="nil"/>
              <w:right w:val="single" w:color="000000" w:sz="12" w:space="0"/>
            </w:tcBorders>
            <w:shd w:val="clear" w:color="auto" w:fill="auto"/>
            <w:noWrap/>
            <w:vAlign w:val="center"/>
          </w:tcPr>
          <w:p w14:paraId="71D0C77C">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nil"/>
              <w:right w:val="single" w:color="000000" w:sz="12" w:space="0"/>
            </w:tcBorders>
            <w:shd w:val="clear" w:color="auto" w:fill="auto"/>
            <w:noWrap/>
            <w:vAlign w:val="center"/>
          </w:tcPr>
          <w:p w14:paraId="75FA291F">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nil"/>
              <w:right w:val="single" w:color="000000" w:sz="12" w:space="0"/>
            </w:tcBorders>
            <w:shd w:val="clear" w:color="auto" w:fill="auto"/>
            <w:noWrap/>
            <w:vAlign w:val="center"/>
          </w:tcPr>
          <w:p w14:paraId="642950AB">
            <w:pPr>
              <w:jc w:val="center"/>
              <w:rPr>
                <w:rFonts w:hint="eastAsia" w:ascii="宋体" w:hAnsi="宋体" w:eastAsia="宋体" w:cs="宋体"/>
                <w:i w:val="0"/>
                <w:iCs w:val="0"/>
                <w:color w:val="auto"/>
                <w:sz w:val="22"/>
                <w:szCs w:val="22"/>
                <w:u w:val="none"/>
              </w:rPr>
            </w:pPr>
          </w:p>
        </w:tc>
      </w:tr>
      <w:tr w14:paraId="2ED74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06AE84E">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2348061">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1779CDF">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61BEA13">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63ACA6D">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52CFA61B">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7BAC8B66">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78280EE4">
            <w:pPr>
              <w:jc w:val="center"/>
              <w:rPr>
                <w:rFonts w:hint="eastAsia" w:ascii="宋体" w:hAnsi="宋体" w:eastAsia="宋体" w:cs="宋体"/>
                <w:i w:val="0"/>
                <w:iCs w:val="0"/>
                <w:color w:val="auto"/>
                <w:sz w:val="22"/>
                <w:szCs w:val="22"/>
                <w:u w:val="none"/>
              </w:rPr>
            </w:pPr>
          </w:p>
        </w:tc>
      </w:tr>
      <w:tr w14:paraId="0897D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E9D8595">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62181FF">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144453B">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B39F414">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0713CBA">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73AE8BDF">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5C00F295">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375E9E80">
            <w:pPr>
              <w:jc w:val="center"/>
              <w:rPr>
                <w:rFonts w:hint="eastAsia" w:ascii="宋体" w:hAnsi="宋体" w:eastAsia="宋体" w:cs="宋体"/>
                <w:i w:val="0"/>
                <w:iCs w:val="0"/>
                <w:color w:val="auto"/>
                <w:sz w:val="22"/>
                <w:szCs w:val="22"/>
                <w:u w:val="none"/>
              </w:rPr>
            </w:pPr>
          </w:p>
        </w:tc>
      </w:tr>
      <w:tr w14:paraId="492A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09E6B00">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01B2C94">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77797BC">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28FF897">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37985FF">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51815701">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23DFB69B">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3B9CC8F8">
            <w:pPr>
              <w:jc w:val="center"/>
              <w:rPr>
                <w:rFonts w:hint="eastAsia" w:ascii="宋体" w:hAnsi="宋体" w:eastAsia="宋体" w:cs="宋体"/>
                <w:i w:val="0"/>
                <w:iCs w:val="0"/>
                <w:color w:val="auto"/>
                <w:sz w:val="22"/>
                <w:szCs w:val="22"/>
                <w:u w:val="none"/>
              </w:rPr>
            </w:pPr>
          </w:p>
        </w:tc>
      </w:tr>
      <w:tr w14:paraId="28D3C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C2A5982">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4CD8DF6">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EC46D99">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B055185">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03B8755">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637B1875">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5BFA3BC9">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24D49AD2">
            <w:pPr>
              <w:jc w:val="center"/>
              <w:rPr>
                <w:rFonts w:hint="eastAsia" w:ascii="宋体" w:hAnsi="宋体" w:eastAsia="宋体" w:cs="宋体"/>
                <w:i w:val="0"/>
                <w:iCs w:val="0"/>
                <w:color w:val="auto"/>
                <w:sz w:val="22"/>
                <w:szCs w:val="22"/>
                <w:u w:val="none"/>
              </w:rPr>
            </w:pPr>
          </w:p>
        </w:tc>
      </w:tr>
      <w:tr w14:paraId="20E9E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9A1A876">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A1B1493">
            <w:pPr>
              <w:jc w:val="center"/>
              <w:rPr>
                <w:rFonts w:hint="eastAsia" w:ascii="仿宋" w:hAnsi="仿宋" w:eastAsia="仿宋" w:cs="仿宋"/>
                <w:i w:val="0"/>
                <w:iCs w:val="0"/>
                <w:color w:val="auto"/>
                <w:sz w:val="24"/>
                <w:szCs w:val="24"/>
                <w:u w:val="none"/>
              </w:rPr>
            </w:pP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3ACA076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乡村建设子系统</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0CE3E4BB">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促乡村振兴子系统</w:t>
            </w:r>
          </w:p>
        </w:tc>
        <w:tc>
          <w:tcPr>
            <w:tcW w:w="68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top"/>
          </w:tcPr>
          <w:p w14:paraId="0537BB4D">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在原乡村建设子系统的基础上，拓展“一键申报”功能，农户通过微信扫码可直接反馈农村水、电、路、网、环境卫生等问题。通过问题反馈处理流程，各级可及时查看、处理农户反馈问题。建立问题反馈处理积分，提升农户参与积极性和各级问题处理积极性。</w:t>
            </w:r>
          </w:p>
        </w:tc>
        <w:tc>
          <w:tcPr>
            <w:tcW w:w="0" w:type="auto"/>
            <w:vMerge w:val="restart"/>
            <w:tcBorders>
              <w:top w:val="single" w:color="000000" w:sz="12" w:space="0"/>
              <w:left w:val="single" w:color="000000" w:sz="12" w:space="0"/>
              <w:bottom w:val="nil"/>
              <w:right w:val="single" w:color="000000" w:sz="12" w:space="0"/>
            </w:tcBorders>
            <w:shd w:val="clear" w:color="auto" w:fill="auto"/>
            <w:noWrap/>
            <w:vAlign w:val="center"/>
          </w:tcPr>
          <w:p w14:paraId="3C96FF51">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nil"/>
              <w:right w:val="single" w:color="000000" w:sz="12" w:space="0"/>
            </w:tcBorders>
            <w:shd w:val="clear" w:color="auto" w:fill="auto"/>
            <w:noWrap/>
            <w:vAlign w:val="center"/>
          </w:tcPr>
          <w:p w14:paraId="13741402">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nil"/>
              <w:right w:val="single" w:color="000000" w:sz="12" w:space="0"/>
            </w:tcBorders>
            <w:shd w:val="clear" w:color="auto" w:fill="auto"/>
            <w:noWrap/>
            <w:vAlign w:val="center"/>
          </w:tcPr>
          <w:p w14:paraId="6F9AB233">
            <w:pPr>
              <w:jc w:val="center"/>
              <w:rPr>
                <w:rFonts w:hint="eastAsia" w:ascii="宋体" w:hAnsi="宋体" w:eastAsia="宋体" w:cs="宋体"/>
                <w:i w:val="0"/>
                <w:iCs w:val="0"/>
                <w:color w:val="auto"/>
                <w:sz w:val="22"/>
                <w:szCs w:val="22"/>
                <w:u w:val="none"/>
              </w:rPr>
            </w:pPr>
          </w:p>
        </w:tc>
      </w:tr>
      <w:tr w14:paraId="1DF2A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340325C">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3F4C677">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3BFAC08">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6231275">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69294DFC">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4499799F">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7B164C22">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26B4CC25">
            <w:pPr>
              <w:jc w:val="center"/>
              <w:rPr>
                <w:rFonts w:hint="eastAsia" w:ascii="宋体" w:hAnsi="宋体" w:eastAsia="宋体" w:cs="宋体"/>
                <w:i w:val="0"/>
                <w:iCs w:val="0"/>
                <w:color w:val="auto"/>
                <w:sz w:val="22"/>
                <w:szCs w:val="22"/>
                <w:u w:val="none"/>
              </w:rPr>
            </w:pPr>
          </w:p>
        </w:tc>
      </w:tr>
      <w:tr w14:paraId="34A9E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A378E40">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475892A">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B0411E4">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3C466DA">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31AC41E1">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0F0AC79E">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6C758AB7">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4F3A57A0">
            <w:pPr>
              <w:jc w:val="center"/>
              <w:rPr>
                <w:rFonts w:hint="eastAsia" w:ascii="宋体" w:hAnsi="宋体" w:eastAsia="宋体" w:cs="宋体"/>
                <w:i w:val="0"/>
                <w:iCs w:val="0"/>
                <w:color w:val="auto"/>
                <w:sz w:val="22"/>
                <w:szCs w:val="22"/>
                <w:u w:val="none"/>
              </w:rPr>
            </w:pPr>
          </w:p>
        </w:tc>
      </w:tr>
      <w:tr w14:paraId="66ACE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34CCCA1">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3DFC23F">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4D829BB">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43AFD25">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0A961DC1">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6108F625">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68972ADA">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10EB8093">
            <w:pPr>
              <w:jc w:val="center"/>
              <w:rPr>
                <w:rFonts w:hint="eastAsia" w:ascii="宋体" w:hAnsi="宋体" w:eastAsia="宋体" w:cs="宋体"/>
                <w:i w:val="0"/>
                <w:iCs w:val="0"/>
                <w:color w:val="auto"/>
                <w:sz w:val="22"/>
                <w:szCs w:val="22"/>
                <w:u w:val="none"/>
              </w:rPr>
            </w:pPr>
          </w:p>
        </w:tc>
      </w:tr>
      <w:tr w14:paraId="3F6E9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C24AB73">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0D68300">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64AF9D2">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283775F">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4B6185A5">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1F3574AF">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52FDD86B">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3E1CD135">
            <w:pPr>
              <w:jc w:val="center"/>
              <w:rPr>
                <w:rFonts w:hint="eastAsia" w:ascii="宋体" w:hAnsi="宋体" w:eastAsia="宋体" w:cs="宋体"/>
                <w:i w:val="0"/>
                <w:iCs w:val="0"/>
                <w:color w:val="auto"/>
                <w:sz w:val="22"/>
                <w:szCs w:val="22"/>
                <w:u w:val="none"/>
              </w:rPr>
            </w:pPr>
          </w:p>
        </w:tc>
      </w:tr>
      <w:tr w14:paraId="526B6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4A282C8">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33BAB49">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3F5CE29">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9121720">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2C0C474D">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0B66B7C4">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7E20E465">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nil"/>
              <w:right w:val="single" w:color="000000" w:sz="12" w:space="0"/>
            </w:tcBorders>
            <w:shd w:val="clear" w:color="auto" w:fill="auto"/>
            <w:noWrap/>
            <w:vAlign w:val="center"/>
          </w:tcPr>
          <w:p w14:paraId="0A382405">
            <w:pPr>
              <w:jc w:val="center"/>
              <w:rPr>
                <w:rFonts w:hint="eastAsia" w:ascii="宋体" w:hAnsi="宋体" w:eastAsia="宋体" w:cs="宋体"/>
                <w:i w:val="0"/>
                <w:iCs w:val="0"/>
                <w:color w:val="auto"/>
                <w:sz w:val="22"/>
                <w:szCs w:val="22"/>
                <w:u w:val="none"/>
              </w:rPr>
            </w:pPr>
          </w:p>
        </w:tc>
      </w:tr>
      <w:tr w14:paraId="2DFC0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7E031DD">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F44658E">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431526E">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3B79566">
            <w:pPr>
              <w:jc w:val="left"/>
              <w:rPr>
                <w:rFonts w:hint="eastAsia" w:ascii="仿宋" w:hAnsi="仿宋" w:eastAsia="仿宋" w:cs="仿宋"/>
                <w:i w:val="0"/>
                <w:iCs w:val="0"/>
                <w:color w:val="auto"/>
                <w:sz w:val="24"/>
                <w:szCs w:val="24"/>
                <w:u w:val="none"/>
              </w:rPr>
            </w:pPr>
          </w:p>
        </w:tc>
        <w:tc>
          <w:tcPr>
            <w:tcW w:w="6860" w:type="dxa"/>
            <w:tcBorders>
              <w:top w:val="single" w:color="000000" w:sz="12" w:space="0"/>
              <w:left w:val="single" w:color="000000" w:sz="12" w:space="0"/>
              <w:bottom w:val="single" w:color="000000" w:sz="12" w:space="0"/>
              <w:right w:val="single" w:color="000000" w:sz="12" w:space="0"/>
            </w:tcBorders>
            <w:shd w:val="clear" w:color="auto" w:fill="auto"/>
            <w:vAlign w:val="top"/>
          </w:tcPr>
          <w:p w14:paraId="25FC526F">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农户扫描农户码、村码查看“阳光村务”信息。通过对村务信息、政策信息、村级财务信息的公开，实现村务信息常态化公开，预防农村“微腐败”。</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F5ACDC6">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906981F">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7A190E4">
            <w:pPr>
              <w:rPr>
                <w:rFonts w:hint="eastAsia" w:ascii="宋体" w:hAnsi="宋体" w:eastAsia="宋体" w:cs="宋体"/>
                <w:i w:val="0"/>
                <w:iCs w:val="0"/>
                <w:color w:val="auto"/>
                <w:sz w:val="22"/>
                <w:szCs w:val="22"/>
                <w:u w:val="none"/>
              </w:rPr>
            </w:pPr>
          </w:p>
        </w:tc>
      </w:tr>
      <w:tr w14:paraId="2A615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9D73A11">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A334CF2">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02CB8C3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一户一码子系统</w:t>
            </w: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8E80195">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全农码</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子系统</w:t>
            </w:r>
          </w:p>
        </w:tc>
        <w:tc>
          <w:tcPr>
            <w:tcW w:w="6860" w:type="dxa"/>
            <w:tcBorders>
              <w:top w:val="single" w:color="000000" w:sz="12" w:space="0"/>
              <w:left w:val="single" w:color="000000" w:sz="12" w:space="0"/>
              <w:bottom w:val="single" w:color="000000" w:sz="12" w:space="0"/>
              <w:right w:val="single" w:color="000000" w:sz="12" w:space="0"/>
            </w:tcBorders>
            <w:shd w:val="clear" w:color="auto" w:fill="auto"/>
            <w:vAlign w:val="top"/>
          </w:tcPr>
          <w:p w14:paraId="305F7E62">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在原有一户一码、通用码的基础上，拓展提升覆盖农村项目、农村资源、人居环境等为一体的统一数字身份认证二维码子系统。实现困难上报、乡村建设问题反馈、信息查看等功能。</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2E1E036">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9318C12">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670751F">
            <w:pPr>
              <w:rPr>
                <w:rFonts w:hint="eastAsia" w:ascii="宋体" w:hAnsi="宋体" w:eastAsia="宋体" w:cs="宋体"/>
                <w:i w:val="0"/>
                <w:iCs w:val="0"/>
                <w:color w:val="auto"/>
                <w:sz w:val="22"/>
                <w:szCs w:val="22"/>
                <w:u w:val="none"/>
              </w:rPr>
            </w:pPr>
          </w:p>
        </w:tc>
      </w:tr>
      <w:tr w14:paraId="18B74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604CBB8">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5DB28FB0">
            <w:pPr>
              <w:jc w:val="center"/>
              <w:rPr>
                <w:rFonts w:hint="eastAsia" w:ascii="仿宋" w:hAnsi="仿宋" w:eastAsia="仿宋" w:cs="仿宋"/>
                <w:i w:val="0"/>
                <w:iCs w:val="0"/>
                <w:color w:val="auto"/>
                <w:sz w:val="24"/>
                <w:szCs w:val="24"/>
                <w:u w:val="none"/>
              </w:rPr>
            </w:pP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577BC8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决策分析子系统</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2994BD09">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农户改厕</w:t>
            </w:r>
          </w:p>
        </w:tc>
        <w:tc>
          <w:tcPr>
            <w:tcW w:w="68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top"/>
          </w:tcPr>
          <w:p w14:paraId="3382CCEB">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在原有功能上通过对农户改厕数据分析，省、市、县三级农业农村部门可掌握本地区问题厕所分布情况、整改情况、改建时间情况、整改责任单位情况等的分布信息。及时了解各地区的改厕工作进度，作出工作指导。</w:t>
            </w: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02167F7">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E5195D4">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C387EB4">
            <w:pPr>
              <w:jc w:val="center"/>
              <w:rPr>
                <w:rFonts w:hint="eastAsia" w:ascii="宋体" w:hAnsi="宋体" w:eastAsia="宋体" w:cs="宋体"/>
                <w:i w:val="0"/>
                <w:iCs w:val="0"/>
                <w:color w:val="auto"/>
                <w:sz w:val="22"/>
                <w:szCs w:val="22"/>
                <w:u w:val="none"/>
              </w:rPr>
            </w:pPr>
          </w:p>
        </w:tc>
      </w:tr>
      <w:tr w14:paraId="046A7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746A74A">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88CF4B2">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54CE318">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278E0274">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top"/>
          </w:tcPr>
          <w:p w14:paraId="3632FAD1">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030A57C">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A4ECCAA">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9307E64">
            <w:pPr>
              <w:jc w:val="center"/>
              <w:rPr>
                <w:rFonts w:hint="eastAsia" w:ascii="宋体" w:hAnsi="宋体" w:eastAsia="宋体" w:cs="宋体"/>
                <w:i w:val="0"/>
                <w:iCs w:val="0"/>
                <w:color w:val="auto"/>
                <w:sz w:val="22"/>
                <w:szCs w:val="22"/>
                <w:u w:val="none"/>
              </w:rPr>
            </w:pPr>
          </w:p>
        </w:tc>
      </w:tr>
      <w:tr w14:paraId="6343B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0" w:hRule="atLeast"/>
        </w:trPr>
        <w:tc>
          <w:tcPr>
            <w:tcW w:w="9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6271C8D">
            <w:pPr>
              <w:jc w:val="center"/>
              <w:rPr>
                <w:rFonts w:hint="eastAsia" w:ascii="仿宋" w:hAnsi="仿宋" w:eastAsia="仿宋" w:cs="仿宋"/>
                <w:i w:val="0"/>
                <w:iCs w:val="0"/>
                <w:color w:val="auto"/>
                <w:sz w:val="24"/>
                <w:szCs w:val="24"/>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E5ED341">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5578B32B">
            <w:pPr>
              <w:jc w:val="center"/>
              <w:rPr>
                <w:rFonts w:hint="eastAsia" w:ascii="仿宋" w:hAnsi="仿宋" w:eastAsia="仿宋" w:cs="仿宋"/>
                <w:i w:val="0"/>
                <w:iCs w:val="0"/>
                <w:color w:val="auto"/>
                <w:sz w:val="24"/>
                <w:szCs w:val="24"/>
                <w:u w:val="none"/>
              </w:rPr>
            </w:pPr>
          </w:p>
        </w:tc>
        <w:tc>
          <w:tcPr>
            <w:tcW w:w="118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2B8BEA68">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风险未消除</w:t>
            </w:r>
          </w:p>
        </w:tc>
        <w:tc>
          <w:tcPr>
            <w:tcW w:w="6860" w:type="dxa"/>
            <w:tcBorders>
              <w:top w:val="single" w:color="000000" w:sz="12" w:space="0"/>
              <w:left w:val="single" w:color="000000" w:sz="12" w:space="0"/>
              <w:bottom w:val="single" w:color="000000" w:sz="12" w:space="0"/>
              <w:right w:val="single" w:color="000000" w:sz="12" w:space="0"/>
            </w:tcBorders>
            <w:shd w:val="clear" w:color="auto" w:fill="auto"/>
            <w:vAlign w:val="top"/>
          </w:tcPr>
          <w:p w14:paraId="0603652A">
            <w:pPr>
              <w:keepNext w:val="0"/>
              <w:keepLines w:val="0"/>
              <w:widowControl/>
              <w:suppressLineNumbers w:val="0"/>
              <w:jc w:val="left"/>
              <w:textAlignment w:val="top"/>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在原有功能通过对监测对象风险未消除信息、整户无劳兜底保障户信息的分析，了解各地区风险未消除分布情况及整户无劳兜底保障户分布情况。完善监测对象风险监测数据，掌握风险消除工作进度。</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9B10493">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B6DEDA7">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C54030E">
            <w:pPr>
              <w:rPr>
                <w:rFonts w:hint="eastAsia" w:ascii="宋体" w:hAnsi="宋体" w:eastAsia="宋体" w:cs="宋体"/>
                <w:i w:val="0"/>
                <w:iCs w:val="0"/>
                <w:color w:val="auto"/>
                <w:sz w:val="22"/>
                <w:szCs w:val="22"/>
                <w:u w:val="none"/>
              </w:rPr>
            </w:pPr>
          </w:p>
        </w:tc>
      </w:tr>
      <w:tr w14:paraId="4AF25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0" w:hRule="atLeast"/>
        </w:trPr>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D5118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14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00CC4D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防止返贫致贫预警模块功能新增</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710CC78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防止返贫致贫预警模块</w:t>
            </w: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7975F53A">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大模型</w:t>
            </w:r>
          </w:p>
        </w:tc>
        <w:tc>
          <w:tcPr>
            <w:tcW w:w="68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16900616">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1、通过对防止返贫致贫工作中重点关注的234项指标进行综合分析，按照政策落实情况、责任落实情况、工作落实情况、巩固成果情况四类进行工作画像分析，了解各级防止返贫致贫工作开展情况，查漏补缺。</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7CDB1DF">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5454216">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AF95CD5">
            <w:pPr>
              <w:rPr>
                <w:rFonts w:hint="eastAsia" w:ascii="宋体" w:hAnsi="宋体" w:eastAsia="宋体" w:cs="宋体"/>
                <w:i w:val="0"/>
                <w:iCs w:val="0"/>
                <w:color w:val="auto"/>
                <w:sz w:val="22"/>
                <w:szCs w:val="22"/>
                <w:u w:val="none"/>
              </w:rPr>
            </w:pPr>
          </w:p>
        </w:tc>
      </w:tr>
      <w:tr w14:paraId="1D56A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6065D8E">
            <w:pPr>
              <w:jc w:val="center"/>
              <w:rPr>
                <w:rFonts w:hint="eastAsia" w:ascii="宋体" w:hAnsi="宋体" w:eastAsia="宋体" w:cs="宋体"/>
                <w:i w:val="0"/>
                <w:iCs w:val="0"/>
                <w:color w:val="auto"/>
                <w:sz w:val="22"/>
                <w:szCs w:val="22"/>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466A82A">
            <w:pPr>
              <w:jc w:val="center"/>
              <w:rPr>
                <w:rFonts w:hint="eastAsia" w:ascii="宋体" w:hAnsi="宋体" w:eastAsia="宋体" w:cs="宋体"/>
                <w:i w:val="0"/>
                <w:iCs w:val="0"/>
                <w:color w:val="auto"/>
                <w:sz w:val="22"/>
                <w:szCs w:val="22"/>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73A489BC">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59C829C">
            <w:pPr>
              <w:jc w:val="left"/>
              <w:rPr>
                <w:rFonts w:hint="eastAsia" w:ascii="仿宋" w:hAnsi="仿宋" w:eastAsia="仿宋" w:cs="仿宋"/>
                <w:i w:val="0"/>
                <w:iCs w:val="0"/>
                <w:color w:val="auto"/>
                <w:sz w:val="24"/>
                <w:szCs w:val="24"/>
                <w:u w:val="none"/>
              </w:rPr>
            </w:pPr>
          </w:p>
        </w:tc>
        <w:tc>
          <w:tcPr>
            <w:tcW w:w="6860" w:type="dxa"/>
            <w:tcBorders>
              <w:top w:val="single" w:color="000000" w:sz="12" w:space="0"/>
              <w:left w:val="single" w:color="000000" w:sz="12" w:space="0"/>
              <w:bottom w:val="single" w:color="000000" w:sz="12" w:space="0"/>
              <w:right w:val="single" w:color="000000" w:sz="12" w:space="0"/>
            </w:tcBorders>
            <w:shd w:val="clear" w:color="auto" w:fill="auto"/>
            <w:vAlign w:val="center"/>
          </w:tcPr>
          <w:p w14:paraId="31F9591B">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2、通过对农户信息进行综合分析，对农户风险进行高风险、中风险、无风险的分类。让数据成为决策依据，让各级工作人员聚焦高风险农户、紧盯中风险农户、稳定无风险农户。</w:t>
            </w: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77EB05E">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1E0BEB3">
            <w:pPr>
              <w:rPr>
                <w:rFonts w:hint="eastAsia" w:ascii="宋体" w:hAnsi="宋体" w:eastAsia="宋体" w:cs="宋体"/>
                <w:i w:val="0"/>
                <w:iCs w:val="0"/>
                <w:color w:val="auto"/>
                <w:sz w:val="22"/>
                <w:szCs w:val="22"/>
                <w:u w:val="none"/>
              </w:rPr>
            </w:pPr>
          </w:p>
        </w:tc>
        <w:tc>
          <w:tcPr>
            <w:tcW w:w="0" w:type="auto"/>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B4965DF">
            <w:pPr>
              <w:rPr>
                <w:rFonts w:hint="eastAsia" w:ascii="宋体" w:hAnsi="宋体" w:eastAsia="宋体" w:cs="宋体"/>
                <w:i w:val="0"/>
                <w:iCs w:val="0"/>
                <w:color w:val="auto"/>
                <w:sz w:val="22"/>
                <w:szCs w:val="22"/>
                <w:u w:val="none"/>
              </w:rPr>
            </w:pPr>
          </w:p>
        </w:tc>
      </w:tr>
      <w:tr w14:paraId="78E64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4C5750FE">
            <w:pPr>
              <w:jc w:val="center"/>
              <w:rPr>
                <w:rFonts w:hint="eastAsia" w:ascii="宋体" w:hAnsi="宋体" w:eastAsia="宋体" w:cs="宋体"/>
                <w:i w:val="0"/>
                <w:iCs w:val="0"/>
                <w:color w:val="auto"/>
                <w:sz w:val="22"/>
                <w:szCs w:val="22"/>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6928C46B">
            <w:pPr>
              <w:jc w:val="center"/>
              <w:rPr>
                <w:rFonts w:hint="eastAsia" w:ascii="宋体" w:hAnsi="宋体" w:eastAsia="宋体" w:cs="宋体"/>
                <w:i w:val="0"/>
                <w:iCs w:val="0"/>
                <w:color w:val="auto"/>
                <w:sz w:val="22"/>
                <w:szCs w:val="22"/>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0650B784">
            <w:pPr>
              <w:jc w:val="center"/>
              <w:rPr>
                <w:rFonts w:hint="eastAsia" w:ascii="仿宋" w:hAnsi="仿宋" w:eastAsia="仿宋" w:cs="仿宋"/>
                <w:i w:val="0"/>
                <w:iCs w:val="0"/>
                <w:color w:val="auto"/>
                <w:sz w:val="24"/>
                <w:szCs w:val="24"/>
                <w:u w:val="none"/>
              </w:rPr>
            </w:pPr>
          </w:p>
        </w:tc>
        <w:tc>
          <w:tcPr>
            <w:tcW w:w="11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737B619F">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AI应用-智能政策问答</w:t>
            </w:r>
          </w:p>
        </w:tc>
        <w:tc>
          <w:tcPr>
            <w:tcW w:w="686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14:paraId="3F6F7C25">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防止返贫致贫帮扶工作面临“涉及部门多、涉及政策多、涉及基层人员多”的三多情况。如何将各级、各部门的帮扶政策让基层工作人员都能了解，并为农户服务是一个难题。平台通过本地化部署DS模型，搭建AI智能政策问答服务，为基层工作人员提供政策信息查询，让基层工作人员能快速了解帮扶政策信息，及时准确判断帮扶情况，提升工作效率。</w:t>
            </w: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2B2154E5">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30188E20">
            <w:pPr>
              <w:jc w:val="center"/>
              <w:rPr>
                <w:rFonts w:hint="eastAsia" w:ascii="宋体" w:hAnsi="宋体" w:eastAsia="宋体" w:cs="宋体"/>
                <w:i w:val="0"/>
                <w:iCs w:val="0"/>
                <w:color w:val="auto"/>
                <w:sz w:val="22"/>
                <w:szCs w:val="22"/>
                <w:u w:val="none"/>
              </w:rPr>
            </w:pPr>
          </w:p>
        </w:tc>
        <w:tc>
          <w:tcPr>
            <w:tcW w:w="0" w:type="auto"/>
            <w:vMerge w:val="restart"/>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0A811F38">
            <w:pPr>
              <w:jc w:val="center"/>
              <w:rPr>
                <w:rFonts w:hint="eastAsia" w:ascii="宋体" w:hAnsi="宋体" w:eastAsia="宋体" w:cs="宋体"/>
                <w:i w:val="0"/>
                <w:iCs w:val="0"/>
                <w:color w:val="auto"/>
                <w:sz w:val="22"/>
                <w:szCs w:val="22"/>
                <w:u w:val="none"/>
              </w:rPr>
            </w:pPr>
          </w:p>
        </w:tc>
      </w:tr>
      <w:tr w14:paraId="3B206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837AB99">
            <w:pPr>
              <w:jc w:val="center"/>
              <w:rPr>
                <w:rFonts w:hint="eastAsia" w:ascii="宋体" w:hAnsi="宋体" w:eastAsia="宋体" w:cs="宋体"/>
                <w:i w:val="0"/>
                <w:iCs w:val="0"/>
                <w:color w:val="auto"/>
                <w:sz w:val="22"/>
                <w:szCs w:val="22"/>
                <w:u w:val="none"/>
              </w:rPr>
            </w:pPr>
          </w:p>
        </w:tc>
        <w:tc>
          <w:tcPr>
            <w:tcW w:w="14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31EFC08B">
            <w:pPr>
              <w:jc w:val="center"/>
              <w:rPr>
                <w:rFonts w:hint="eastAsia" w:ascii="宋体" w:hAnsi="宋体" w:eastAsia="宋体" w:cs="宋体"/>
                <w:i w:val="0"/>
                <w:iCs w:val="0"/>
                <w:color w:val="auto"/>
                <w:sz w:val="22"/>
                <w:szCs w:val="22"/>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D974AB6">
            <w:pPr>
              <w:jc w:val="center"/>
              <w:rPr>
                <w:rFonts w:hint="eastAsia" w:ascii="仿宋" w:hAnsi="仿宋" w:eastAsia="仿宋" w:cs="仿宋"/>
                <w:i w:val="0"/>
                <w:iCs w:val="0"/>
                <w:color w:val="auto"/>
                <w:sz w:val="24"/>
                <w:szCs w:val="24"/>
                <w:u w:val="none"/>
              </w:rPr>
            </w:pPr>
          </w:p>
        </w:tc>
        <w:tc>
          <w:tcPr>
            <w:tcW w:w="11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1D23F3F3">
            <w:pPr>
              <w:jc w:val="left"/>
              <w:rPr>
                <w:rFonts w:hint="eastAsia" w:ascii="仿宋" w:hAnsi="仿宋" w:eastAsia="仿宋" w:cs="仿宋"/>
                <w:i w:val="0"/>
                <w:iCs w:val="0"/>
                <w:color w:val="auto"/>
                <w:sz w:val="24"/>
                <w:szCs w:val="24"/>
                <w:u w:val="none"/>
              </w:rPr>
            </w:pPr>
          </w:p>
        </w:tc>
        <w:tc>
          <w:tcPr>
            <w:tcW w:w="686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14:paraId="4CC0A0E0">
            <w:pPr>
              <w:jc w:val="left"/>
              <w:rPr>
                <w:rFonts w:hint="eastAsia" w:ascii="仿宋" w:hAnsi="仿宋" w:eastAsia="仿宋" w:cs="仿宋"/>
                <w:i w:val="0"/>
                <w:iCs w:val="0"/>
                <w:color w:val="auto"/>
                <w:sz w:val="24"/>
                <w:szCs w:val="24"/>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145434EE">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82A22E2">
            <w:pPr>
              <w:jc w:val="center"/>
              <w:rPr>
                <w:rFonts w:hint="eastAsia" w:ascii="宋体" w:hAnsi="宋体" w:eastAsia="宋体" w:cs="宋体"/>
                <w:i w:val="0"/>
                <w:iCs w:val="0"/>
                <w:color w:val="auto"/>
                <w:sz w:val="22"/>
                <w:szCs w:val="22"/>
                <w:u w:val="none"/>
              </w:rPr>
            </w:pPr>
          </w:p>
        </w:tc>
        <w:tc>
          <w:tcPr>
            <w:tcW w:w="0" w:type="auto"/>
            <w:vMerge w:val="continue"/>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78C8328F">
            <w:pPr>
              <w:jc w:val="center"/>
              <w:rPr>
                <w:rFonts w:hint="eastAsia" w:ascii="宋体" w:hAnsi="宋体" w:eastAsia="宋体" w:cs="宋体"/>
                <w:i w:val="0"/>
                <w:iCs w:val="0"/>
                <w:color w:val="auto"/>
                <w:sz w:val="22"/>
                <w:szCs w:val="22"/>
                <w:u w:val="none"/>
              </w:rPr>
            </w:pPr>
          </w:p>
        </w:tc>
      </w:tr>
      <w:tr w14:paraId="29CA1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gridSpan w:val="5"/>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51A3559F">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合计</w:t>
            </w:r>
          </w:p>
        </w:tc>
        <w:tc>
          <w:tcPr>
            <w:tcW w:w="0" w:type="auto"/>
            <w:gridSpan w:val="3"/>
            <w:tcBorders>
              <w:top w:val="single" w:color="000000" w:sz="12" w:space="0"/>
              <w:left w:val="single" w:color="000000" w:sz="12" w:space="0"/>
              <w:bottom w:val="single" w:color="000000" w:sz="12" w:space="0"/>
              <w:right w:val="single" w:color="000000" w:sz="12" w:space="0"/>
            </w:tcBorders>
            <w:shd w:val="clear" w:color="auto" w:fill="auto"/>
            <w:noWrap/>
            <w:vAlign w:val="center"/>
          </w:tcPr>
          <w:p w14:paraId="6A642CBD">
            <w:pPr>
              <w:jc w:val="center"/>
              <w:rPr>
                <w:rFonts w:hint="eastAsia" w:ascii="宋体" w:hAnsi="宋体" w:eastAsia="宋体" w:cs="宋体"/>
                <w:i w:val="0"/>
                <w:iCs w:val="0"/>
                <w:color w:val="auto"/>
                <w:sz w:val="22"/>
                <w:szCs w:val="22"/>
                <w:u w:val="none"/>
              </w:rPr>
            </w:pPr>
          </w:p>
        </w:tc>
      </w:tr>
    </w:tbl>
    <w:p w14:paraId="422A5230">
      <w:pPr>
        <w:rPr>
          <w:color w:val="auto"/>
        </w:rPr>
      </w:pPr>
    </w:p>
    <w:p w14:paraId="04F20B35"/>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C9A984"/>
    <w:multiLevelType w:val="singleLevel"/>
    <w:tmpl w:val="D7C9A984"/>
    <w:lvl w:ilvl="0" w:tentative="0">
      <w:start w:val="1"/>
      <w:numFmt w:val="chineseCounting"/>
      <w:suff w:val="nothing"/>
      <w:lvlText w:val="%1、"/>
      <w:lvlJc w:val="left"/>
      <w:rPr>
        <w:rFonts w:hint="eastAsia"/>
      </w:rPr>
    </w:lvl>
  </w:abstractNum>
  <w:abstractNum w:abstractNumId="1">
    <w:nsid w:val="2F000000"/>
    <w:multiLevelType w:val="multilevel"/>
    <w:tmpl w:val="2F000000"/>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2">
    <w:nsid w:val="2F000001"/>
    <w:multiLevelType w:val="multilevel"/>
    <w:tmpl w:val="2F000001"/>
    <w:lvl w:ilvl="0" w:tentative="0">
      <w:start w:val="2"/>
      <w:numFmt w:val="decimal"/>
      <w:suff w:val="nothing"/>
      <w:lvlText w:val="%1、"/>
      <w:lvlJc w:val="left"/>
    </w:lvl>
    <w:lvl w:ilvl="1" w:tentative="0">
      <w:start w:val="2"/>
      <w:numFmt w:val="decimal"/>
      <w:suff w:val="nothing"/>
      <w:lvlText w:val="%1、"/>
      <w:lvlJc w:val="left"/>
    </w:lvl>
    <w:lvl w:ilvl="2" w:tentative="0">
      <w:start w:val="2"/>
      <w:numFmt w:val="decimal"/>
      <w:suff w:val="nothing"/>
      <w:lvlText w:val="%1、"/>
      <w:lvlJc w:val="left"/>
    </w:lvl>
    <w:lvl w:ilvl="3" w:tentative="0">
      <w:start w:val="2"/>
      <w:numFmt w:val="decimal"/>
      <w:suff w:val="nothing"/>
      <w:lvlText w:val="%1、"/>
      <w:lvlJc w:val="left"/>
    </w:lvl>
    <w:lvl w:ilvl="4" w:tentative="0">
      <w:start w:val="2"/>
      <w:numFmt w:val="decimal"/>
      <w:suff w:val="nothing"/>
      <w:lvlText w:val="%1、"/>
      <w:lvlJc w:val="left"/>
    </w:lvl>
    <w:lvl w:ilvl="5" w:tentative="0">
      <w:start w:val="2"/>
      <w:numFmt w:val="decimal"/>
      <w:suff w:val="nothing"/>
      <w:lvlText w:val="%1、"/>
      <w:lvlJc w:val="left"/>
    </w:lvl>
    <w:lvl w:ilvl="6" w:tentative="0">
      <w:start w:val="2"/>
      <w:numFmt w:val="decimal"/>
      <w:suff w:val="nothing"/>
      <w:lvlText w:val="%1、"/>
      <w:lvlJc w:val="left"/>
    </w:lvl>
    <w:lvl w:ilvl="7" w:tentative="0">
      <w:start w:val="2"/>
      <w:numFmt w:val="decimal"/>
      <w:suff w:val="nothing"/>
      <w:lvlText w:val="%1、"/>
      <w:lvlJc w:val="left"/>
    </w:lvl>
    <w:lvl w:ilvl="8" w:tentative="0">
      <w:start w:val="2"/>
      <w:numFmt w:val="decimal"/>
      <w:suff w:val="nothing"/>
      <w:lvlText w:val="%1、"/>
      <w:lvlJc w:val="left"/>
    </w:lvl>
  </w:abstractNum>
  <w:abstractNum w:abstractNumId="3">
    <w:nsid w:val="2F000002"/>
    <w:multiLevelType w:val="multilevel"/>
    <w:tmpl w:val="2F000002"/>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4">
    <w:nsid w:val="2F000003"/>
    <w:multiLevelType w:val="multilevel"/>
    <w:tmpl w:val="2F000003"/>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1C13DE"/>
    <w:rsid w:val="01FF0067"/>
    <w:rsid w:val="0FD12D30"/>
    <w:rsid w:val="13555373"/>
    <w:rsid w:val="27315D1D"/>
    <w:rsid w:val="2D3B0E53"/>
    <w:rsid w:val="2E54495E"/>
    <w:rsid w:val="6B1C1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4">
    <w:name w:val="Body Text"/>
    <w:basedOn w:val="1"/>
    <w:next w:val="1"/>
    <w:unhideWhenUsed/>
    <w:qFormat/>
    <w:uiPriority w:val="99"/>
    <w:pPr>
      <w:spacing w:after="120"/>
    </w:pPr>
    <w:rPr>
      <w:rFonts w:eastAsia="Times New Roman"/>
    </w:rPr>
  </w:style>
  <w:style w:type="paragraph" w:styleId="7">
    <w:name w:val="No Spacing"/>
    <w:qFormat/>
    <w:uiPriority w:val="1"/>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1982</Words>
  <Characters>2032</Characters>
  <Lines>0</Lines>
  <Paragraphs>0</Paragraphs>
  <TotalTime>3</TotalTime>
  <ScaleCrop>false</ScaleCrop>
  <LinksUpToDate>false</LinksUpToDate>
  <CharactersWithSpaces>2130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2025-06-20T02:13:00Z</dcterms:created>
  <dc:creator>Administrator</dc:creator>
  <cp:lastModifiedBy>Administrator</cp:lastModifiedBy>
  <dcterms:modified xsi:type="dcterms:W3CDTF">2025-06-20T03:27:22Z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9B894F18FE33441B83347DF26C5A4FA6_11</vt:lpwstr>
  </property>
  <property fmtid="{D5CDD505-2E9C-101B-9397-08002B2CF9AE}" pid="4" name="KSOTemplateDocerSaveRecord">
    <vt:lpwstr>eyJoZGlkIjoiMTIxNDE0Zjg2YTQxMWJiMWNhZjQ3YzFlZTk1MDUzOWUifQ==</vt:lpwstr>
  </property>
</Properties>
</file>