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版本号：SDZC2025-11820250625001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医保网络维护费项目(二次)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SDZC2025-118</w:t>
      </w:r>
      <w:r>
        <w:br/>
      </w:r>
      <w:r>
        <w:br/>
      </w:r>
      <w:r>
        <w:br/>
      </w:r>
    </w:p>
    <w:p>
      <w:pPr>
        <w:pStyle w:val="null3"/>
        <w:jc w:val="center"/>
        <w:outlineLvl w:val="2"/>
      </w:pPr>
      <w:r>
        <w:rPr>
          <w:rFonts w:ascii="仿宋_GB2312" w:hAnsi="仿宋_GB2312" w:cs="仿宋_GB2312" w:eastAsia="仿宋_GB2312"/>
          <w:sz w:val="28"/>
          <w:b/>
        </w:rPr>
        <w:t>西安市鄠邑区医疗保障局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西安市鄠邑区医疗保障局</w:t>
      </w:r>
      <w:r>
        <w:rPr>
          <w:rFonts w:ascii="仿宋_GB2312" w:hAnsi="仿宋_GB2312" w:cs="仿宋_GB2312" w:eastAsia="仿宋_GB2312"/>
        </w:rPr>
        <w:t>委托，拟对</w:t>
      </w:r>
      <w:r>
        <w:rPr>
          <w:rFonts w:ascii="仿宋_GB2312" w:hAnsi="仿宋_GB2312" w:cs="仿宋_GB2312" w:eastAsia="仿宋_GB2312"/>
        </w:rPr>
        <w:t>医保网络维护费项目(二次)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医保网络维护费项目(二次)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构建三级医保经办服务体系，需向辖区内231个镇街及行政村医保服务站（室）提供2M医保专网，保障231个医保服务工作室网络正常运行。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西安市鄠邑区沣京东路12号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雒展飞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029-89019329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西安市鄠邑区医疗保障局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联系电话：029-86673953、86518381、89299829、89293231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构建三级医保经办服务体系，需向辖区内231个镇街及行政村医保服务站（室）提供2M医保专网，保障231个医保服务工作室网络正常运行。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683,000.00</w:t>
      </w:r>
    </w:p>
    <w:p>
      <w:pPr>
        <w:pStyle w:val="null3"/>
      </w:pPr>
      <w:r>
        <w:rPr>
          <w:rFonts w:ascii="仿宋_GB2312" w:hAnsi="仿宋_GB2312" w:cs="仿宋_GB2312" w:eastAsia="仿宋_GB2312"/>
        </w:rPr>
        <w:t>采购包最高限价（元）: 683,000.00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医保专网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标的名称：医保专网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构建三级医保经办服务体系，需向辖区内231个镇街及行政村医保服务站（室）提供2M医保专网，保障231个医保服务工作室网络正常运行。</w:t>
            </w:r>
          </w:p>
          <w:p>
            <w:pPr>
              <w:pStyle w:val="null3"/>
            </w:pPr>
            <w:r>
              <w:rPr>
                <w:rFonts w:ascii="仿宋_GB2312" w:hAnsi="仿宋_GB2312" w:cs="仿宋_GB2312" w:eastAsia="仿宋_GB2312"/>
              </w:rPr>
              <w:t>1、保证2M数字信号，优先使用专网，除特殊情况外年度内不能出现6次以上有关医保专网使用方面的问题。</w:t>
            </w:r>
          </w:p>
          <w:p>
            <w:pPr>
              <w:pStyle w:val="null3"/>
            </w:pPr>
            <w:r>
              <w:rPr>
                <w:rFonts w:ascii="仿宋_GB2312" w:hAnsi="仿宋_GB2312" w:cs="仿宋_GB2312" w:eastAsia="仿宋_GB2312"/>
              </w:rPr>
              <w:t>2、除不可抗力外，区域内医保专网故障问题，第一时间响应（30分钟内），最长延期时间不超过12个小时。</w:t>
            </w:r>
          </w:p>
          <w:p>
            <w:pPr>
              <w:pStyle w:val="null3"/>
            </w:pPr>
            <w:r>
              <w:rPr>
                <w:rFonts w:ascii="仿宋_GB2312" w:hAnsi="仿宋_GB2312" w:cs="仿宋_GB2312" w:eastAsia="仿宋_GB2312"/>
              </w:rPr>
              <w:t>3、由于不可抗拒的社会面多方面因素影响，导致长时间出现医保专网不能使用现象时，应该第一时间向我方出具事故的情况说明报告。</w:t>
            </w:r>
          </w:p>
          <w:p>
            <w:pPr>
              <w:pStyle w:val="null3"/>
            </w:pPr>
            <w:r>
              <w:rPr>
                <w:rFonts w:ascii="仿宋_GB2312" w:hAnsi="仿宋_GB2312" w:cs="仿宋_GB2312" w:eastAsia="仿宋_GB2312"/>
              </w:rPr>
              <w:t>4、常态化建立医保专网服务队伍，随时响应和及时解决医保专网故障。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按服务要求合理配置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2022年集中采购的203条医保专网及高新区移交返还行政村4条医保专网待服务合同结束日后，服务期限定为2025年11月1日至2026年10月31日止； 2022年先期试点的22条镇（街）、村（社区）医保专网，服务期限定为自本次竞争性磋商合同签订之日起至满一年； 甘亭街道新增2个社区待医保基础设施配备到位后，服务期限定为自接通医保专网之日起至满一年。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鄠邑区辖区内231个镇街及行政村医保服务站（室）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符合现行的国家标准或国家行政部门颁布的法律法规、规章制度等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服务期满1个月前，经使用单位验收合格后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2.未按合同要求提供服务质量不能满足技术要求，采购人有权终止合同，并对供应商违约行为进行追究，同时按《中华人民共和国政府采购法》的有关规定进行处罚。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成交人在领成交通知书时须提供纸质响应文件正本一份、副本二份用于存档（纸质文件与电子档文件一致）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人员配备.docx 组织机构.docx 服务承诺.docx 承诺书.docx 资格证明文件.docx 质量保障措施.docx 法定代表人授权书.docx 《拒绝政府采购领域商业贿赂承诺书》.docx 分项报价表.docx 标的清单 监狱企业的证明文件 项目背景、目的、任务和服务内容的理解.docx 业绩.docx 工作实施方案.docx 中小企业声明函 商务条款响应偏离表.docx 服务条款响应偏离表.docx 合理化建议.docx 重点、难点分析及解决方案.docx 供应商有必要说明的其他事项.docx 响应文件封面 保密方案.docx 残疾人福利性单位声明函 设备设施及辅助器材.docx 供应商参与政府采购活动的承诺函.docx 应急措施.docx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人员配备.docx 组织机构.docx 服务承诺.docx 承诺书.docx 资格证明文件.docx 质量保障措施.docx 法定代表人授权书.docx 《拒绝政府采购领域商业贿赂承诺书》.docx 分项报价表.docx 标的清单 监狱企业的证明文件 项目背景、目的、任务和服务内容的理解.docx 业绩.docx 工作实施方案.docx 中小企业声明函 商务条款响应偏离表.docx 服务条款响应偏离表.docx 合理化建议.docx 重点、难点分析及解决方案.docx 供应商有必要说明的其他事项.docx 响应文件封面 保密方案.docx 残疾人福利性单位声明函 设备设施及辅助器材.docx 供应商参与政府采购活动的承诺函.docx 应急措施.docx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商务条款响应偏离表.docx 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人员配备.docx 组织机构.docx 服务承诺.docx 承诺书.docx 资格证明文件.docx 质量保障措施.docx 法定代表人授权书.docx 《拒绝政府采购领域商业贿赂承诺书》.docx 分项报价表.docx 标的清单 监狱企业的证明文件 项目背景、目的、任务和服务内容的理解.docx 业绩.docx 工作实施方案.docx 中小企业声明函 商务条款响应偏离表.docx 服务条款响应偏离表.docx 合理化建议.docx 重点、难点分析及解决方案.docx 供应商有必要说明的其他事项.docx 响应文件封面 保密方案.docx 残疾人福利性单位声明函 设备设施及辅助器材.docx 供应商参与政府采购活动的承诺函.docx 应急措施.docx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人员配备.docx 组织机构.docx 服务承诺.docx 承诺书.docx 资格证明文件.docx 质量保障措施.docx 法定代表人授权书.docx 《拒绝政府采购领域商业贿赂承诺书》.docx 分项报价表.docx 标的清单 监狱企业的证明文件 项目背景、目的、任务和服务内容的理解.docx 业绩.docx 工作实施方案.docx 中小企业声明函 商务条款响应偏离表.docx 服务条款响应偏离表.docx 合理化建议.docx 重点、难点分析及解决方案.docx 供应商有必要说明的其他事项.docx 响应文件封面 保密方案.docx 残疾人福利性单位声明函 设备设施及辅助器材.docx 供应商参与政府采购活动的承诺函.docx 应急措施.docx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项目背景、目的、任务和服务内容的理解</w:t>
            </w:r>
          </w:p>
        </w:tc>
        <w:tc>
          <w:tcPr>
            <w:tcW w:type="dxa" w:w="2492"/>
          </w:tcPr>
          <w:p>
            <w:pPr>
              <w:pStyle w:val="null3"/>
            </w:pPr>
            <w:r>
              <w:rPr>
                <w:rFonts w:ascii="仿宋_GB2312" w:hAnsi="仿宋_GB2312" w:cs="仿宋_GB2312" w:eastAsia="仿宋_GB2312"/>
              </w:rPr>
              <w:t>投标人对项目背景、目的、服务内容的理解和认识： ①对项目背景、目的、服务内容理解准确，认识深刻透彻，且描述全面详细，无缺陷的计8分； ②只提供框架，无详细内容描述的计6分； ③对项目背景、目的、服务内容理解有偏差，认识不深刻或缺一项的计4分； ④缺两项的计2分；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项目背景、目的、任务和服务内容的理解.docx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对本项目实施的质量保障措施： ①有完善、具体、合理、可行的措施，能保证项目顺利实施的计8分； ②只有书面承诺，缺少具体措施办法的计4分； ③措施内容有重大缺陷的计1分；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质量保障措施.docx</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对本项目制定的工作实施方案： ①内容详细全面、方案设计合理、架构完整、层次清楚、完善可行的计8分； ②方案只有框架，内容粗略的计4分； ③方案存在重大缺陷的计1分；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工作实施方案.docx</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投标人的组织机构、管理制度及工作程序： ①有完善、健全的组织机构，能够与项目实施相匹配，且有严格、详细的管理制度及完善、可行的工作程序的计8分； ②只提供框架，无详细内容描述的计6分； ③组织机构不健全，与项目实施不匹配，或管理制度不详细、工作程序不完善的计4分； ④缺一项的计2分； ⑤未提供相关内容的不计分。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组织机构.docx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项目出现突发状况或问题后，投标人对项目采取的应急措施： ①有完善的应急补救措施，完全能够保证项目的顺利实施的计8分； ②只有书面承诺，缺少具体措施办法的计4分； ③措施内容有重大缺陷的计1分；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针对本项目服务要求，提出合理化建议： ①有完善、具体、可行的合理化建议的计8分； ②建议只有框架，与本项目实施无关联性的计4分； ③未提供相关内容的不计分。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根据本项目的实际情况，投标人提出有针对重点、难点的分析及解决方案。 ①方案对项目重点、难点的关键点分析准确，解决方案得当的计8分； ②方案只有框架，内容粗略的计4分； ③方案存在重大缺陷的计1分；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重点、难点分析及解决方案.docx</w:t>
            </w:r>
          </w:p>
        </w:tc>
      </w:tr>
      <w:tr>
        <w:tc>
          <w:tcPr>
            <w:tcW w:type="dxa" w:w="831"/>
            <w:vMerge/>
          </w:tcPr>
          <w:p/>
        </w:tc>
        <w:tc>
          <w:tcPr>
            <w:tcW w:type="dxa" w:w="1661"/>
          </w:tcPr>
          <w:p>
            <w:pPr>
              <w:pStyle w:val="null3"/>
            </w:pPr>
            <w:r>
              <w:rPr>
                <w:rFonts w:ascii="仿宋_GB2312" w:hAnsi="仿宋_GB2312" w:cs="仿宋_GB2312" w:eastAsia="仿宋_GB2312"/>
              </w:rPr>
              <w:t>设备设施及辅助器材</w:t>
            </w:r>
          </w:p>
        </w:tc>
        <w:tc>
          <w:tcPr>
            <w:tcW w:type="dxa" w:w="2492"/>
          </w:tcPr>
          <w:p>
            <w:pPr>
              <w:pStyle w:val="null3"/>
            </w:pPr>
            <w:r>
              <w:rPr>
                <w:rFonts w:ascii="仿宋_GB2312" w:hAnsi="仿宋_GB2312" w:cs="仿宋_GB2312" w:eastAsia="仿宋_GB2312"/>
              </w:rPr>
              <w:t>①投标人提供的设备设施及辅助器材的种类、数量等满足项目需求的计6分； ②所提供的设备品种不足或数量不足的计3分； ③所提供的设备与项目实际使用需求不匹配，不能满足项目实施的1分； ④未提供本项内容的不计分。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设备设施及辅助器材.docx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以合同形式提供供应商2022年4月至今同类项目业绩，每份计2分，计满10分为止。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针对本项目需求，投标人配备服务团队： ①服务团队架构配置合理，人员分工明确，且职业资格、学历、知识结构、从业经历等人员证明资料齐全的计8分； ②团队架构、人员分工、人员证明材料任1项有描述不明确或材料不齐全的的计6分； ③组织机构、人员安排、人员证明材料任2项有描述不明确或材料不齐全的的计4分； ④组织机构、人员安排、人员证明材料任2项有描述不明确或材料不齐全的的计2分； ⑤缺任何一项的不计分。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①保密制度、保密措施等内容完整、详细，与本项目实施匹配的计6分； ②只有框架，内容粗略的计4分； ③内容存在重大缺陷的计2分；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①针对本项目售后问题提出解决方案，方案响应及时、有针对性，且内容描述全面、详细的计6分； ②只有框架，内容粗略的计4分； ③存在重大缺陷的计2分； ④未提供相关内容的不计分。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详见附件：项目背景、目的、任务和服务内容的理解.docx</w:t>
      </w:r>
    </w:p>
    <w:p>
      <w:pPr>
        <w:pStyle w:val="null3"/>
        <w:ind w:firstLine="960"/>
      </w:pPr>
      <w:r>
        <w:rPr>
          <w:rFonts w:ascii="仿宋_GB2312" w:hAnsi="仿宋_GB2312" w:cs="仿宋_GB2312" w:eastAsia="仿宋_GB2312"/>
        </w:rPr>
        <w:t>详见附件：质量保障措施.docx</w:t>
      </w:r>
    </w:p>
    <w:p>
      <w:pPr>
        <w:pStyle w:val="null3"/>
        <w:ind w:firstLine="960"/>
      </w:pPr>
      <w:r>
        <w:rPr>
          <w:rFonts w:ascii="仿宋_GB2312" w:hAnsi="仿宋_GB2312" w:cs="仿宋_GB2312" w:eastAsia="仿宋_GB2312"/>
        </w:rPr>
        <w:t>详见附件：工作实施方案.docx</w:t>
      </w:r>
    </w:p>
    <w:p>
      <w:pPr>
        <w:pStyle w:val="null3"/>
        <w:ind w:firstLine="960"/>
      </w:pPr>
      <w:r>
        <w:rPr>
          <w:rFonts w:ascii="仿宋_GB2312" w:hAnsi="仿宋_GB2312" w:cs="仿宋_GB2312" w:eastAsia="仿宋_GB2312"/>
        </w:rPr>
        <w:t>详见附件：组织机构.docx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详见附件：重点、难点分析及解决方案.docx</w:t>
      </w:r>
    </w:p>
    <w:p>
      <w:pPr>
        <w:pStyle w:val="null3"/>
        <w:ind w:firstLine="960"/>
      </w:pPr>
      <w:r>
        <w:rPr>
          <w:rFonts w:ascii="仿宋_GB2312" w:hAnsi="仿宋_GB2312" w:cs="仿宋_GB2312" w:eastAsia="仿宋_GB2312"/>
        </w:rPr>
        <w:t>详见附件：设备设施及辅助器材.docx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