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版本号：JXZB2025-012.1B120250701001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2025年度西安市鄠邑区残疾人家庭医生签约服务项目(二次)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JXZB2025-012.1B1</w:t>
      </w:r>
      <w:r>
        <w:br/>
      </w:r>
      <w:r>
        <w:br/>
      </w:r>
      <w:r>
        <w:br/>
      </w:r>
    </w:p>
    <w:p>
      <w:pPr>
        <w:pStyle w:val="null3"/>
        <w:jc w:val="center"/>
        <w:outlineLvl w:val="2"/>
      </w:pPr>
      <w:r>
        <w:rPr>
          <w:rFonts w:ascii="仿宋_GB2312" w:hAnsi="仿宋_GB2312" w:cs="仿宋_GB2312" w:eastAsia="仿宋_GB2312"/>
          <w:sz w:val="28"/>
          <w:b/>
        </w:rPr>
        <w:t>西安市鄠邑区残疾人联合会</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西安市鄠邑区残疾人联合会</w:t>
      </w:r>
      <w:r>
        <w:rPr>
          <w:rFonts w:ascii="仿宋_GB2312" w:hAnsi="仿宋_GB2312" w:cs="仿宋_GB2312" w:eastAsia="仿宋_GB2312"/>
        </w:rPr>
        <w:t>委托，拟对</w:t>
      </w:r>
      <w:r>
        <w:rPr>
          <w:rFonts w:ascii="仿宋_GB2312" w:hAnsi="仿宋_GB2312" w:cs="仿宋_GB2312" w:eastAsia="仿宋_GB2312"/>
        </w:rPr>
        <w:t>2025年度西安市鄠邑区残疾人家庭医生签约服务项目(二次)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2025年度西安市鄠邑区残疾人家庭医生签约服务项目(二次)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安市鄠邑区残疾人家庭医生签约服务项目：根据有康复需求残疾人的残疾类别和需求，提供相符的服务内容和次数；为视力、听力、精神、智力和肢体残疾人及残疾少年儿童提供家庭护理、康复训练、社会适应能力训练、健康管理指导、适应性训练、辅助器具需求评估、支持性服务、实施转介等服务内容。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采购包1（2025年度西安市鄠邑区残疾人家庭医生签约服务项目）：属于专门面向中小企业采购。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2、资质要求：供应商须具备由相关行政审批单位颁发的《医疗机构执业许可证》。</w:t>
      </w:r>
    </w:p>
    <w:p>
      <w:pPr>
        <w:pStyle w:val="null3"/>
      </w:pPr>
      <w:r>
        <w:rPr>
          <w:rFonts w:ascii="仿宋_GB2312" w:hAnsi="仿宋_GB2312" w:cs="仿宋_GB2312" w:eastAsia="仿宋_GB2312"/>
        </w:rPr>
        <w:t>3、财务状况报表：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4、税收缴纳证明：提供供应商2024年至今任意一个月已缴纳的完税凭证或税务机关开具的完税证明（任意税种），依法免税的单位应提供相关证明材料；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5、社会保障资金缴纳证明：提供供应商2024年至今任意一个月的社会保障资金缴存单据或社保机构开具的社会保险参保缴费情况证明。依法不需要缴纳社会保障资金的供应商应提供相关证明文件；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6、声明书：提供具有履行本合同所必需的设备和专业技术能力的声明；</w:t>
      </w:r>
    </w:p>
    <w:p>
      <w:pPr>
        <w:pStyle w:val="null3"/>
      </w:pPr>
      <w:r>
        <w:rPr>
          <w:rFonts w:ascii="仿宋_GB2312" w:hAnsi="仿宋_GB2312" w:cs="仿宋_GB2312" w:eastAsia="仿宋_GB2312"/>
        </w:rPr>
        <w:t>7、声明书：出具参加政府采购活动前3年内在经营活动中没有重大违法记录的书面声明；</w:t>
      </w:r>
    </w:p>
    <w:p>
      <w:pPr>
        <w:pStyle w:val="null3"/>
      </w:pPr>
      <w:r>
        <w:rPr>
          <w:rFonts w:ascii="仿宋_GB2312" w:hAnsi="仿宋_GB2312" w:cs="仿宋_GB2312" w:eastAsia="仿宋_GB2312"/>
        </w:rPr>
        <w:t>8、法定代表人授权书：法定代表人授权书及被授权人身份证(法定代表人直接参加投标，须提交其身份证复印件及法定代表人身份证明)；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9、信用截图：供应商不得为“信用中国”网站(www.creditchina.gov.cn)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陕西省西安市鄠邑区草堂路72号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西安市鄠邑区残疾人联合会经办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13630250348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 转 8009或18892080471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转账附言：JXZB2025-012.1B1代理服务费 注：成交人支付招标代理服务费后，请将转账凭证、单位开票信息、发票收件人地址信息发至3363927373@qq.com，如有疑问，可致电029-85495286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西安市鄠邑区残疾人联合会</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服务标准：达到国家相关规范合格标准及采购人考核要求。 工作完成后，由甲方组织，对服务结果进行验收，验收标准应符合相应主管部门的审查要求，验收达不到要求的，继续完善至符合要求。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西安市鄠邑区残疾人家庭医生签约服务项目：根据有康复需求残疾人的残疾类别和需求，提供相符的服务内容和次数；为视力、听力、精神、智力和肢体残疾人及残疾少年儿童提供家庭护理、康复训练、社会适应能力训练、健康管理指导、适应性训练、辅助器具需求评估、支持性服务、实施转介等服务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为有需求的重度残疾人提供上门访视、家庭护理、康复、训练指导；提供康复知识宣传、适应性训练、辅助器具适配、支持性服务、康复转介等服务。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标的名称：为有需求的重度残疾人提供上门访视、家庭护理、康复、训练指导；提供康复知识宣传、适应性训练、辅助器具适配、支持性服务、康复转介等服务。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一、</w:t>
                  </w:r>
                  <w:r>
                    <w:rPr>
                      <w:rFonts w:ascii="仿宋_GB2312" w:hAnsi="仿宋_GB2312" w:cs="仿宋_GB2312" w:eastAsia="仿宋_GB2312"/>
                      <w:sz w:val="19"/>
                      <w:b/>
                    </w:rPr>
                    <w:t>项目概况</w:t>
                  </w:r>
                </w:p>
                <w:p>
                  <w:pPr>
                    <w:pStyle w:val="null3"/>
                    <w:jc w:val="both"/>
                  </w:pPr>
                  <w:r>
                    <w:rPr>
                      <w:rFonts w:ascii="仿宋_GB2312" w:hAnsi="仿宋_GB2312" w:cs="仿宋_GB2312" w:eastAsia="仿宋_GB2312"/>
                      <w:sz w:val="19"/>
                    </w:rPr>
                    <w:t>2025年度西安市鄠邑区残疾人家庭医生签约服务项目</w:t>
                  </w:r>
                </w:p>
                <w:p>
                  <w:pPr>
                    <w:pStyle w:val="null3"/>
                    <w:jc w:val="both"/>
                  </w:pPr>
                  <w:r>
                    <w:rPr>
                      <w:rFonts w:ascii="仿宋_GB2312" w:hAnsi="仿宋_GB2312" w:cs="仿宋_GB2312" w:eastAsia="仿宋_GB2312"/>
                      <w:sz w:val="19"/>
                      <w:b/>
                    </w:rPr>
                    <w:t>二、</w:t>
                  </w:r>
                  <w:r>
                    <w:rPr>
                      <w:rFonts w:ascii="仿宋_GB2312" w:hAnsi="仿宋_GB2312" w:cs="仿宋_GB2312" w:eastAsia="仿宋_GB2312"/>
                      <w:sz w:val="19"/>
                      <w:b/>
                    </w:rPr>
                    <w:t>服务内容</w:t>
                  </w:r>
                </w:p>
                <w:p>
                  <w:pPr>
                    <w:pStyle w:val="null3"/>
                    <w:jc w:val="both"/>
                  </w:pPr>
                  <w:r>
                    <w:rPr>
                      <w:rFonts w:ascii="仿宋_GB2312" w:hAnsi="仿宋_GB2312" w:cs="仿宋_GB2312" w:eastAsia="仿宋_GB2312"/>
                      <w:sz w:val="19"/>
                    </w:rPr>
                    <w:t>（一）服务对象</w:t>
                  </w:r>
                </w:p>
                <w:p>
                  <w:pPr>
                    <w:pStyle w:val="null3"/>
                    <w:jc w:val="both"/>
                  </w:pPr>
                  <w:r>
                    <w:rPr>
                      <w:rFonts w:ascii="仿宋_GB2312" w:hAnsi="仿宋_GB2312" w:cs="仿宋_GB2312" w:eastAsia="仿宋_GB2312"/>
                      <w:sz w:val="19"/>
                    </w:rPr>
                    <w:t>具有鄠邑区户籍、持第三代《残疾人证》且有康复需求、康复意愿的各类残疾人。</w:t>
                  </w:r>
                </w:p>
                <w:p>
                  <w:pPr>
                    <w:pStyle w:val="null3"/>
                    <w:jc w:val="both"/>
                  </w:pPr>
                  <w:r>
                    <w:rPr>
                      <w:rFonts w:ascii="仿宋_GB2312" w:hAnsi="仿宋_GB2312" w:cs="仿宋_GB2312" w:eastAsia="仿宋_GB2312"/>
                      <w:sz w:val="19"/>
                    </w:rPr>
                    <w:t>（二）服务内容</w:t>
                  </w:r>
                </w:p>
                <w:p>
                  <w:pPr>
                    <w:pStyle w:val="null3"/>
                    <w:jc w:val="both"/>
                  </w:pPr>
                  <w:r>
                    <w:rPr>
                      <w:rFonts w:ascii="仿宋_GB2312" w:hAnsi="仿宋_GB2312" w:cs="仿宋_GB2312" w:eastAsia="仿宋_GB2312"/>
                      <w:sz w:val="19"/>
                    </w:rPr>
                    <w:t>参照《家庭医生签约服务差异化康复服务包》的服务内容及标准执行（见附件</w:t>
                  </w:r>
                  <w:r>
                    <w:rPr>
                      <w:rFonts w:ascii="仿宋_GB2312" w:hAnsi="仿宋_GB2312" w:cs="仿宋_GB2312" w:eastAsia="仿宋_GB2312"/>
                      <w:sz w:val="19"/>
                    </w:rPr>
                    <w:t>2）。根据有康复需求残疾人的残疾类别和需求，提供相符的服务内容和次数；为视力、听力、精神、智力和肢体残疾人及残疾少年儿童提供家庭护理、康复训练、社会适应能力训练、健康管理指导、适应性训练、辅助器具需求评估、支持性服务、实施转介等服务内容。</w:t>
                  </w:r>
                </w:p>
                <w:p>
                  <w:pPr>
                    <w:pStyle w:val="null3"/>
                    <w:jc w:val="both"/>
                  </w:pPr>
                  <w:r>
                    <w:rPr>
                      <w:rFonts w:ascii="仿宋_GB2312" w:hAnsi="仿宋_GB2312" w:cs="仿宋_GB2312" w:eastAsia="仿宋_GB2312"/>
                      <w:sz w:val="19"/>
                    </w:rPr>
                    <w:t>（三）计费标准</w:t>
                  </w:r>
                </w:p>
                <w:p>
                  <w:pPr>
                    <w:pStyle w:val="null3"/>
                    <w:jc w:val="both"/>
                  </w:pPr>
                  <w:r>
                    <w:rPr>
                      <w:rFonts w:ascii="仿宋_GB2312" w:hAnsi="仿宋_GB2312" w:cs="仿宋_GB2312" w:eastAsia="仿宋_GB2312"/>
                      <w:sz w:val="19"/>
                    </w:rPr>
                    <w:t>1、普通轻度类：含视力、听力、言语、智力、精神（1-4级）和中轻度肢体（3-4级）、含肢体残疾的多重残疾人（3-4级），计费标准为</w:t>
                  </w:r>
                  <w:r>
                    <w:rPr>
                      <w:rFonts w:ascii="仿宋_GB2312" w:hAnsi="仿宋_GB2312" w:cs="仿宋_GB2312" w:eastAsia="仿宋_GB2312"/>
                      <w:sz w:val="20"/>
                    </w:rPr>
                    <w:t>不高于</w:t>
                  </w:r>
                  <w:r>
                    <w:rPr>
                      <w:rFonts w:ascii="仿宋_GB2312" w:hAnsi="仿宋_GB2312" w:cs="仿宋_GB2312" w:eastAsia="仿宋_GB2312"/>
                      <w:sz w:val="19"/>
                    </w:rPr>
                    <w:t>80元/人/年（含筛查评估建档资料印刷费用），</w:t>
                  </w:r>
                  <w:r>
                    <w:rPr>
                      <w:rFonts w:ascii="仿宋_GB2312" w:hAnsi="仿宋_GB2312" w:cs="仿宋_GB2312" w:eastAsia="仿宋_GB2312"/>
                      <w:sz w:val="20"/>
                    </w:rPr>
                    <w:t>服务人数不低于</w:t>
                  </w:r>
                  <w:r>
                    <w:rPr>
                      <w:rFonts w:ascii="仿宋_GB2312" w:hAnsi="仿宋_GB2312" w:cs="仿宋_GB2312" w:eastAsia="仿宋_GB2312"/>
                      <w:sz w:val="20"/>
                    </w:rPr>
                    <w:t>750人。</w:t>
                  </w:r>
                  <w:r>
                    <w:rPr>
                      <w:rFonts w:ascii="仿宋_GB2312" w:hAnsi="仿宋_GB2312" w:cs="仿宋_GB2312" w:eastAsia="仿宋_GB2312"/>
                      <w:sz w:val="19"/>
                    </w:rPr>
                    <w:t>按照普通轻度类服务包服务项目内容进行服务，每人每年提供</w:t>
                  </w:r>
                  <w:r>
                    <w:rPr>
                      <w:rFonts w:ascii="仿宋_GB2312" w:hAnsi="仿宋_GB2312" w:cs="仿宋_GB2312" w:eastAsia="仿宋_GB2312"/>
                      <w:sz w:val="19"/>
                    </w:rPr>
                    <w:t>3次服务，每次服务一项或多项内容。</w:t>
                  </w:r>
                </w:p>
                <w:p>
                  <w:pPr>
                    <w:pStyle w:val="null3"/>
                    <w:jc w:val="both"/>
                  </w:pPr>
                  <w:r>
                    <w:rPr>
                      <w:rFonts w:ascii="仿宋_GB2312" w:hAnsi="仿宋_GB2312" w:cs="仿宋_GB2312" w:eastAsia="仿宋_GB2312"/>
                      <w:sz w:val="19"/>
                      <w:b/>
                    </w:rPr>
                    <w:t>最终根据实际服务人数及报价据实结算费用，即结算费用</w:t>
                  </w:r>
                  <w:r>
                    <w:rPr>
                      <w:rFonts w:ascii="仿宋_GB2312" w:hAnsi="仿宋_GB2312" w:cs="仿宋_GB2312" w:eastAsia="仿宋_GB2312"/>
                      <w:sz w:val="19"/>
                      <w:b/>
                    </w:rPr>
                    <w:t>=服务人数×报价。</w:t>
                  </w:r>
                </w:p>
                <w:p>
                  <w:pPr>
                    <w:pStyle w:val="null3"/>
                    <w:jc w:val="both"/>
                  </w:pPr>
                  <w:r>
                    <w:rPr>
                      <w:rFonts w:ascii="仿宋_GB2312" w:hAnsi="仿宋_GB2312" w:cs="仿宋_GB2312" w:eastAsia="仿宋_GB2312"/>
                      <w:sz w:val="19"/>
                    </w:rPr>
                    <w:t>2、重度肢体类：含重度肢体（1-2级）、以肢体残疾为主的多重残疾人（1-2级），计费标准为</w:t>
                  </w:r>
                  <w:r>
                    <w:rPr>
                      <w:rFonts w:ascii="仿宋_GB2312" w:hAnsi="仿宋_GB2312" w:cs="仿宋_GB2312" w:eastAsia="仿宋_GB2312"/>
                      <w:sz w:val="20"/>
                    </w:rPr>
                    <w:t>不高于</w:t>
                  </w:r>
                  <w:r>
                    <w:rPr>
                      <w:rFonts w:ascii="仿宋_GB2312" w:hAnsi="仿宋_GB2312" w:cs="仿宋_GB2312" w:eastAsia="仿宋_GB2312"/>
                      <w:sz w:val="19"/>
                    </w:rPr>
                    <w:t>100元/人/次（含筛查评估建档资料印刷费用），</w:t>
                  </w:r>
                  <w:r>
                    <w:rPr>
                      <w:rFonts w:ascii="仿宋_GB2312" w:hAnsi="仿宋_GB2312" w:cs="仿宋_GB2312" w:eastAsia="仿宋_GB2312"/>
                      <w:sz w:val="20"/>
                    </w:rPr>
                    <w:t>服务人数不低于</w:t>
                  </w:r>
                  <w:r>
                    <w:rPr>
                      <w:rFonts w:ascii="仿宋_GB2312" w:hAnsi="仿宋_GB2312" w:cs="仿宋_GB2312" w:eastAsia="仿宋_GB2312"/>
                      <w:sz w:val="20"/>
                    </w:rPr>
                    <w:t>1300人</w:t>
                  </w:r>
                  <w:r>
                    <w:rPr>
                      <w:rFonts w:ascii="仿宋_GB2312" w:hAnsi="仿宋_GB2312" w:cs="仿宋_GB2312" w:eastAsia="仿宋_GB2312"/>
                      <w:sz w:val="19"/>
                    </w:rPr>
                    <w:t>。以</w:t>
                  </w:r>
                  <w:r>
                    <w:rPr>
                      <w:rFonts w:ascii="仿宋_GB2312" w:hAnsi="仿宋_GB2312" w:cs="仿宋_GB2312" w:eastAsia="仿宋_GB2312"/>
                      <w:sz w:val="19"/>
                    </w:rPr>
                    <w:t>“三瘫一截”（脑瘫、偏瘫、截瘫和截肢）等重度残疾人作为重点服务对象，按照重度肢体类服务包服务内容进行服务，每人每年入户服务次数3次，每次至少在支持性服务、适应性训练、护理三项服务内容中选择两项以上服务内容。</w:t>
                  </w:r>
                </w:p>
                <w:p>
                  <w:pPr>
                    <w:pStyle w:val="null3"/>
                    <w:jc w:val="both"/>
                  </w:pPr>
                  <w:r>
                    <w:rPr>
                      <w:rFonts w:ascii="仿宋_GB2312" w:hAnsi="仿宋_GB2312" w:cs="仿宋_GB2312" w:eastAsia="仿宋_GB2312"/>
                      <w:sz w:val="20"/>
                      <w:b/>
                    </w:rPr>
                    <w:t>最终根据实际服务人数及次数据实结算费用，即结算费用</w:t>
                  </w:r>
                  <w:r>
                    <w:rPr>
                      <w:rFonts w:ascii="仿宋_GB2312" w:hAnsi="仿宋_GB2312" w:cs="仿宋_GB2312" w:eastAsia="仿宋_GB2312"/>
                      <w:sz w:val="20"/>
                      <w:b/>
                    </w:rPr>
                    <w:t>=全年总服务次数×单人单次报价。</w:t>
                  </w:r>
                </w:p>
                <w:p>
                  <w:pPr>
                    <w:pStyle w:val="null3"/>
                    <w:jc w:val="both"/>
                  </w:pPr>
                  <w:r>
                    <w:rPr>
                      <w:rFonts w:ascii="仿宋_GB2312" w:hAnsi="仿宋_GB2312" w:cs="仿宋_GB2312" w:eastAsia="仿宋_GB2312"/>
                      <w:sz w:val="19"/>
                    </w:rPr>
                    <w:t>（四）工作流程</w:t>
                  </w:r>
                </w:p>
                <w:p>
                  <w:pPr>
                    <w:pStyle w:val="null3"/>
                    <w:jc w:val="left"/>
                  </w:pPr>
                  <w:r>
                    <w:rPr>
                      <w:rFonts w:ascii="仿宋_GB2312" w:hAnsi="仿宋_GB2312" w:cs="仿宋_GB2312" w:eastAsia="仿宋_GB2312"/>
                      <w:sz w:val="20"/>
                    </w:rPr>
                    <w:t>1、筛查评估。家庭医生签约服务团队要采取入户或集中访问等方式，对辖区内有康复需求的残疾人进行筛查和初步评估。</w:t>
                  </w:r>
                </w:p>
                <w:p>
                  <w:pPr>
                    <w:pStyle w:val="null3"/>
                    <w:jc w:val="left"/>
                  </w:pPr>
                  <w:r>
                    <w:rPr>
                      <w:rFonts w:ascii="仿宋_GB2312" w:hAnsi="仿宋_GB2312" w:cs="仿宋_GB2312" w:eastAsia="仿宋_GB2312"/>
                      <w:sz w:val="20"/>
                    </w:rPr>
                    <w:t>2、签订协议。根据筛查初评情况和残疾人基本康复需求，签订《鄠邑区残疾人精准康复家庭医生签约服务协议（服务）手册》（附件1）中的服务协议。</w:t>
                  </w:r>
                </w:p>
                <w:p>
                  <w:pPr>
                    <w:pStyle w:val="null3"/>
                    <w:jc w:val="left"/>
                  </w:pPr>
                  <w:r>
                    <w:rPr>
                      <w:rFonts w:ascii="仿宋_GB2312" w:hAnsi="仿宋_GB2312" w:cs="仿宋_GB2312" w:eastAsia="仿宋_GB2312"/>
                      <w:sz w:val="20"/>
                    </w:rPr>
                    <w:t>3、提供服务。根据签约服务内容，按照《家庭医生签约服务差异化康复服务包》（附件2）内容和次数，为残疾人提供相应的服务，并填写《鄠邑区残疾人精准康复家庭医生签约服务手册》（附件1）中的康复需求评估与转介和康复服务记录内容。</w:t>
                  </w:r>
                </w:p>
                <w:p>
                  <w:pPr>
                    <w:pStyle w:val="null3"/>
                    <w:jc w:val="left"/>
                  </w:pPr>
                  <w:r>
                    <w:rPr>
                      <w:rFonts w:ascii="仿宋_GB2312" w:hAnsi="仿宋_GB2312" w:cs="仿宋_GB2312" w:eastAsia="仿宋_GB2312"/>
                      <w:sz w:val="20"/>
                    </w:rPr>
                    <w:t>4、信息管理。签约服务团队要将筛查初评的0-16岁残疾少年儿童和持证残疾人基本信息、康复需求筛查及签约服务的内容等信息及时录入精准康复服务管理系统。</w:t>
                  </w:r>
                </w:p>
                <w:p>
                  <w:pPr>
                    <w:pStyle w:val="null3"/>
                    <w:jc w:val="both"/>
                  </w:pPr>
                  <w:r>
                    <w:rPr>
                      <w:rFonts w:ascii="仿宋_GB2312" w:hAnsi="仿宋_GB2312" w:cs="仿宋_GB2312" w:eastAsia="仿宋_GB2312"/>
                      <w:sz w:val="19"/>
                      <w:b/>
                    </w:rPr>
                    <w:t>三、服务</w:t>
                  </w:r>
                  <w:r>
                    <w:rPr>
                      <w:rFonts w:ascii="仿宋_GB2312" w:hAnsi="仿宋_GB2312" w:cs="仿宋_GB2312" w:eastAsia="仿宋_GB2312"/>
                      <w:sz w:val="19"/>
                      <w:b/>
                    </w:rPr>
                    <w:t>标准</w:t>
                  </w:r>
                </w:p>
                <w:p>
                  <w:pPr>
                    <w:pStyle w:val="null3"/>
                    <w:jc w:val="both"/>
                  </w:pPr>
                  <w:r>
                    <w:rPr>
                      <w:rFonts w:ascii="仿宋_GB2312" w:hAnsi="仿宋_GB2312" w:cs="仿宋_GB2312" w:eastAsia="仿宋_GB2312"/>
                      <w:sz w:val="19"/>
                    </w:rPr>
                    <w:t>达到国家相关规范合格标准及采购人考核要求。</w:t>
                  </w:r>
                </w:p>
                <w:p>
                  <w:pPr>
                    <w:pStyle w:val="null3"/>
                    <w:jc w:val="both"/>
                  </w:pPr>
                  <w:r>
                    <w:rPr>
                      <w:rFonts w:ascii="仿宋_GB2312" w:hAnsi="仿宋_GB2312" w:cs="仿宋_GB2312" w:eastAsia="仿宋_GB2312"/>
                      <w:sz w:val="19"/>
                      <w:b/>
                    </w:rPr>
                    <w:t>附件：</w:t>
                  </w:r>
                </w:p>
                <w:p>
                  <w:pPr>
                    <w:pStyle w:val="null3"/>
                    <w:jc w:val="center"/>
                  </w:pPr>
                  <w:r>
                    <w:rPr>
                      <w:rFonts w:ascii="仿宋_GB2312" w:hAnsi="仿宋_GB2312" w:cs="仿宋_GB2312" w:eastAsia="仿宋_GB2312"/>
                      <w:sz w:val="36"/>
                      <w:b/>
                    </w:rPr>
                    <w:t>家庭医生签约服务差异化康复服务包</w:t>
                  </w:r>
                </w:p>
                <w:p>
                  <w:pPr>
                    <w:pStyle w:val="null3"/>
                    <w:jc w:val="center"/>
                  </w:pPr>
                  <w:r>
                    <w:rPr>
                      <w:rFonts w:ascii="仿宋_GB2312" w:hAnsi="仿宋_GB2312" w:cs="仿宋_GB2312" w:eastAsia="仿宋_GB2312"/>
                      <w:sz w:val="36"/>
                      <w:b/>
                    </w:rPr>
                    <w:t>（一）普通轻度类服务包</w:t>
                  </w:r>
                </w:p>
                <w:tbl>
                  <w:tblPr>
                    <w:tblBorders>
                      <w:top w:val="none" w:color="000000" w:sz="4"/>
                      <w:left w:val="none" w:color="000000" w:sz="4"/>
                      <w:bottom w:val="none" w:color="000000" w:sz="4"/>
                      <w:right w:val="none" w:color="000000" w:sz="4"/>
                      <w:insideH w:val="none"/>
                      <w:insideV w:val="none"/>
                    </w:tblBorders>
                  </w:tblPr>
                  <w:tblGrid>
                    <w:gridCol w:w="237"/>
                    <w:gridCol w:w="762"/>
                    <w:gridCol w:w="874"/>
                    <w:gridCol w:w="474"/>
                    <w:gridCol w:w="568"/>
                  </w:tblGrid>
                  <w:tr>
                    <w:tc>
                      <w:tcPr>
                        <w:tcW w:type="dxa" w:w="2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7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康复服务项目</w:t>
                        </w:r>
                      </w:p>
                    </w:tc>
                    <w:tc>
                      <w:tcPr>
                        <w:tcW w:type="dxa" w:w="8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服务内容</w:t>
                        </w:r>
                      </w:p>
                    </w:tc>
                    <w:tc>
                      <w:tcPr>
                        <w:tcW w:type="dxa" w:w="4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服务形式</w:t>
                        </w:r>
                      </w:p>
                    </w:tc>
                    <w:tc>
                      <w:tcPr>
                        <w:tcW w:type="dxa" w:w="5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适合人群</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筛查建档</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筛查建档</w:t>
                        </w:r>
                        <w:r>
                          <w:rPr>
                            <w:rFonts w:ascii="仿宋_GB2312" w:hAnsi="仿宋_GB2312" w:cs="仿宋_GB2312" w:eastAsia="仿宋_GB2312"/>
                            <w:sz w:val="20"/>
                          </w:rPr>
                          <w:t>+功能评估</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所有人</w:t>
                        </w:r>
                      </w:p>
                    </w:tc>
                  </w:tr>
                  <w:tr>
                    <w:tc>
                      <w:tcPr>
                        <w:tcW w:type="dxa" w:w="23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76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社区康复测查</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电子血压计</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高血压疾病人群</w:t>
                        </w:r>
                      </w:p>
                    </w:tc>
                  </w:tr>
                  <w:tr>
                    <w:tc>
                      <w:tcPr>
                        <w:tcW w:type="dxa" w:w="237"/>
                        <w:vMerge/>
                        <w:tcBorders>
                          <w:top w:val="none" w:color="000000" w:sz="4"/>
                          <w:left w:val="single" w:color="000000" w:sz="4"/>
                          <w:bottom w:val="none" w:color="000000" w:sz="4"/>
                          <w:right w:val="single" w:color="000000" w:sz="4"/>
                        </w:tcBorders>
                      </w:tcPr>
                      <w:p/>
                    </w:tc>
                    <w:tc>
                      <w:tcPr>
                        <w:tcW w:type="dxa" w:w="762"/>
                        <w:vMerge/>
                        <w:tcBorders>
                          <w:top w:val="none" w:color="000000" w:sz="4"/>
                          <w:left w:val="single" w:color="000000" w:sz="4"/>
                          <w:bottom w:val="none" w:color="000000" w:sz="4"/>
                          <w:right w:val="single" w:color="000000" w:sz="4"/>
                        </w:tcBorders>
                      </w:tcP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血糖仪</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高血糖疾病人群</w:t>
                        </w:r>
                      </w:p>
                    </w:tc>
                  </w:tr>
                  <w:tr>
                    <w:tc>
                      <w:tcPr>
                        <w:tcW w:type="dxa" w:w="237"/>
                        <w:vMerge/>
                        <w:tcBorders>
                          <w:top w:val="none" w:color="000000" w:sz="4"/>
                          <w:left w:val="single" w:color="000000" w:sz="4"/>
                          <w:bottom w:val="none" w:color="000000" w:sz="4"/>
                          <w:right w:val="single" w:color="000000" w:sz="4"/>
                        </w:tcBorders>
                      </w:tcPr>
                      <w:p/>
                    </w:tc>
                    <w:tc>
                      <w:tcPr>
                        <w:tcW w:type="dxa" w:w="762"/>
                        <w:vMerge/>
                        <w:tcBorders>
                          <w:top w:val="none" w:color="000000" w:sz="4"/>
                          <w:left w:val="single" w:color="000000" w:sz="4"/>
                          <w:bottom w:val="none" w:color="000000" w:sz="4"/>
                          <w:right w:val="single" w:color="000000" w:sz="4"/>
                        </w:tcBorders>
                      </w:tcP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血氧仪</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有需求人群</w:t>
                        </w:r>
                      </w:p>
                    </w:tc>
                  </w:tr>
                  <w:tr>
                    <w:tc>
                      <w:tcPr>
                        <w:tcW w:type="dxa" w:w="23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76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健康管理指导</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康复、护理技巧指导</w:t>
                        </w:r>
                      </w:p>
                    </w:tc>
                    <w:tc>
                      <w:tcPr>
                        <w:tcW w:type="dxa" w:w="47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有需求人群</w:t>
                        </w:r>
                      </w:p>
                    </w:tc>
                  </w:tr>
                  <w:tr>
                    <w:tc>
                      <w:tcPr>
                        <w:tcW w:type="dxa" w:w="237"/>
                        <w:vMerge/>
                        <w:tcBorders>
                          <w:top w:val="none" w:color="000000" w:sz="4"/>
                          <w:left w:val="single" w:color="000000" w:sz="4"/>
                          <w:bottom w:val="none" w:color="000000" w:sz="4"/>
                          <w:right w:val="single" w:color="000000" w:sz="4"/>
                        </w:tcBorders>
                      </w:tcPr>
                      <w:p/>
                    </w:tc>
                    <w:tc>
                      <w:tcPr>
                        <w:tcW w:type="dxa" w:w="762"/>
                        <w:vMerge/>
                        <w:tcBorders>
                          <w:top w:val="none" w:color="000000" w:sz="4"/>
                          <w:left w:val="single" w:color="000000" w:sz="4"/>
                          <w:bottom w:val="none" w:color="000000" w:sz="4"/>
                          <w:right w:val="single" w:color="000000" w:sz="4"/>
                        </w:tcBorders>
                      </w:tcP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饮食健康指导</w:t>
                        </w:r>
                      </w:p>
                    </w:tc>
                    <w:tc>
                      <w:tcPr>
                        <w:tcW w:type="dxa" w:w="474"/>
                        <w:vMerge/>
                        <w:tcBorders>
                          <w:top w:val="none" w:color="000000" w:sz="4"/>
                          <w:left w:val="single" w:color="000000" w:sz="4"/>
                          <w:bottom w:val="none" w:color="000000" w:sz="4"/>
                          <w:right w:val="single" w:color="000000" w:sz="4"/>
                        </w:tcBorders>
                      </w:tcPr>
                      <w:p/>
                    </w:tc>
                    <w:tc>
                      <w:tcPr>
                        <w:tcW w:type="dxa" w:w="568"/>
                        <w:vMerge/>
                        <w:tcBorders>
                          <w:top w:val="none" w:color="000000" w:sz="4"/>
                          <w:left w:val="single" w:color="000000" w:sz="4"/>
                          <w:bottom w:val="none" w:color="000000" w:sz="4"/>
                          <w:right w:val="single" w:color="000000" w:sz="4"/>
                        </w:tcBorders>
                      </w:tcPr>
                      <w:p/>
                    </w:tc>
                  </w:tr>
                  <w:tr>
                    <w:tc>
                      <w:tcPr>
                        <w:tcW w:type="dxa" w:w="237"/>
                        <w:vMerge/>
                        <w:tcBorders>
                          <w:top w:val="none" w:color="000000" w:sz="4"/>
                          <w:left w:val="single" w:color="000000" w:sz="4"/>
                          <w:bottom w:val="none" w:color="000000" w:sz="4"/>
                          <w:right w:val="single" w:color="000000" w:sz="4"/>
                        </w:tcBorders>
                      </w:tcPr>
                      <w:p/>
                    </w:tc>
                    <w:tc>
                      <w:tcPr>
                        <w:tcW w:type="dxa" w:w="762"/>
                        <w:vMerge/>
                        <w:tcBorders>
                          <w:top w:val="none" w:color="000000" w:sz="4"/>
                          <w:left w:val="single" w:color="000000" w:sz="4"/>
                          <w:bottom w:val="none" w:color="000000" w:sz="4"/>
                          <w:right w:val="single" w:color="000000" w:sz="4"/>
                        </w:tcBorders>
                      </w:tcP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皮肤管理指导</w:t>
                        </w:r>
                      </w:p>
                    </w:tc>
                    <w:tc>
                      <w:tcPr>
                        <w:tcW w:type="dxa" w:w="474"/>
                        <w:vMerge/>
                        <w:tcBorders>
                          <w:top w:val="none" w:color="000000" w:sz="4"/>
                          <w:left w:val="single" w:color="000000" w:sz="4"/>
                          <w:bottom w:val="none" w:color="000000" w:sz="4"/>
                          <w:right w:val="single" w:color="000000" w:sz="4"/>
                        </w:tcBorders>
                      </w:tcPr>
                      <w:p/>
                    </w:tc>
                    <w:tc>
                      <w:tcPr>
                        <w:tcW w:type="dxa" w:w="568"/>
                        <w:vMerge/>
                        <w:tcBorders>
                          <w:top w:val="none" w:color="000000" w:sz="4"/>
                          <w:left w:val="single" w:color="000000" w:sz="4"/>
                          <w:bottom w:val="none" w:color="000000" w:sz="4"/>
                          <w:right w:val="single" w:color="000000" w:sz="4"/>
                        </w:tcBorders>
                      </w:tcPr>
                      <w:p/>
                    </w:tc>
                  </w:tr>
                  <w:tr>
                    <w:tc>
                      <w:tcPr>
                        <w:tcW w:type="dxa" w:w="237"/>
                        <w:vMerge/>
                        <w:tcBorders>
                          <w:top w:val="none" w:color="000000" w:sz="4"/>
                          <w:left w:val="single" w:color="000000" w:sz="4"/>
                          <w:bottom w:val="none" w:color="000000" w:sz="4"/>
                          <w:right w:val="single" w:color="000000" w:sz="4"/>
                        </w:tcBorders>
                      </w:tcPr>
                      <w:p/>
                    </w:tc>
                    <w:tc>
                      <w:tcPr>
                        <w:tcW w:type="dxa" w:w="762"/>
                        <w:vMerge/>
                        <w:tcBorders>
                          <w:top w:val="none" w:color="000000" w:sz="4"/>
                          <w:left w:val="single" w:color="000000" w:sz="4"/>
                          <w:bottom w:val="none" w:color="000000" w:sz="4"/>
                          <w:right w:val="single" w:color="000000" w:sz="4"/>
                        </w:tcBorders>
                      </w:tcP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慢性病用药指导</w:t>
                        </w:r>
                      </w:p>
                    </w:tc>
                    <w:tc>
                      <w:tcPr>
                        <w:tcW w:type="dxa" w:w="474"/>
                        <w:vMerge/>
                        <w:tcBorders>
                          <w:top w:val="none" w:color="000000" w:sz="4"/>
                          <w:left w:val="single" w:color="000000" w:sz="4"/>
                          <w:bottom w:val="none" w:color="000000" w:sz="4"/>
                          <w:right w:val="single" w:color="000000" w:sz="4"/>
                        </w:tcBorders>
                      </w:tcPr>
                      <w:p/>
                    </w:tc>
                    <w:tc>
                      <w:tcPr>
                        <w:tcW w:type="dxa" w:w="568"/>
                        <w:vMerge/>
                        <w:tcBorders>
                          <w:top w:val="none" w:color="000000" w:sz="4"/>
                          <w:left w:val="single" w:color="000000" w:sz="4"/>
                          <w:bottom w:val="non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支持性服务</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康复咨询、监护人的心</w:t>
                        </w:r>
                        <w:r>
                          <w:rPr>
                            <w:rFonts w:ascii="仿宋_GB2312" w:hAnsi="仿宋_GB2312" w:cs="仿宋_GB2312" w:eastAsia="仿宋_GB2312"/>
                            <w:sz w:val="20"/>
                          </w:rPr>
                          <w:t>理辅导、心理疏导</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各残疾类型及监护人</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益智类作业训练</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益智类知识、游戏</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智力障碍人群</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儿童康复训练指导</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认知卡片、姿势矫正指</w:t>
                        </w:r>
                        <w:r>
                          <w:rPr>
                            <w:rFonts w:ascii="仿宋_GB2312" w:hAnsi="仿宋_GB2312" w:cs="仿宋_GB2312" w:eastAsia="仿宋_GB2312"/>
                            <w:sz w:val="20"/>
                          </w:rPr>
                          <w:t>导、手眼协调训练</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脑瘫、智力、孤独症</w:t>
                        </w:r>
                        <w:r>
                          <w:rPr>
                            <w:rFonts w:ascii="仿宋_GB2312" w:hAnsi="仿宋_GB2312" w:cs="仿宋_GB2312" w:eastAsia="仿宋_GB2312"/>
                            <w:sz w:val="20"/>
                          </w:rPr>
                          <w:t>儿童</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沟通适应训练</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言语沟通能力指导训练</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听力、言语障碍人群</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社会适应能力</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生活自理指导</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视力、听力障碍人群</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辅具应用指导（轮椅</w:t>
                        </w:r>
                        <w:r>
                          <w:rPr>
                            <w:rFonts w:ascii="仿宋_GB2312" w:hAnsi="仿宋_GB2312" w:cs="仿宋_GB2312" w:eastAsia="仿宋_GB2312"/>
                            <w:sz w:val="20"/>
                          </w:rPr>
                          <w:t>等辅具</w:t>
                        </w:r>
                        <w:r>
                          <w:rPr>
                            <w:rFonts w:ascii="仿宋_GB2312" w:hAnsi="仿宋_GB2312" w:cs="仿宋_GB2312" w:eastAsia="仿宋_GB2312"/>
                            <w:sz w:val="20"/>
                          </w:rPr>
                          <w:t>使用指导</w:t>
                        </w:r>
                        <w:r>
                          <w:rPr>
                            <w:rFonts w:ascii="仿宋_GB2312" w:hAnsi="仿宋_GB2312" w:cs="仿宋_GB2312" w:eastAsia="仿宋_GB2312"/>
                            <w:sz w:val="20"/>
                          </w:rPr>
                          <w:t>）</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使用指导</w:t>
                        </w:r>
                        <w:r>
                          <w:rPr>
                            <w:rFonts w:ascii="仿宋_GB2312" w:hAnsi="仿宋_GB2312" w:cs="仿宋_GB2312" w:eastAsia="仿宋_GB2312"/>
                            <w:sz w:val="20"/>
                          </w:rPr>
                          <w:t>+指导卡片</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入户或集中</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现使用辅具人群</w:t>
                        </w:r>
                      </w:p>
                    </w:tc>
                  </w:tr>
                </w:tbl>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1、普通轻度类：含视力、听力、言语、智力、精神（1-4级）和中轻度肢体（3-4 级）、含肢体残疾的多重类残疾人（3-4级）。</w:t>
                  </w:r>
                </w:p>
                <w:p>
                  <w:pPr>
                    <w:pStyle w:val="null3"/>
                    <w:ind w:firstLine="420"/>
                    <w:jc w:val="both"/>
                  </w:pPr>
                  <w:r>
                    <w:rPr>
                      <w:rFonts w:ascii="仿宋_GB2312" w:hAnsi="仿宋_GB2312" w:cs="仿宋_GB2312" w:eastAsia="仿宋_GB2312"/>
                      <w:sz w:val="21"/>
                    </w:rPr>
                    <w:t>3.含筛查评估建档</w:t>
                  </w:r>
                  <w:r>
                    <w:rPr>
                      <w:rFonts w:ascii="仿宋_GB2312" w:hAnsi="仿宋_GB2312" w:cs="仿宋_GB2312" w:eastAsia="仿宋_GB2312"/>
                      <w:sz w:val="21"/>
                    </w:rPr>
                    <w:t>资料印刷</w:t>
                  </w:r>
                  <w:r>
                    <w:rPr>
                      <w:rFonts w:ascii="仿宋_GB2312" w:hAnsi="仿宋_GB2312" w:cs="仿宋_GB2312" w:eastAsia="仿宋_GB2312"/>
                      <w:sz w:val="21"/>
                    </w:rPr>
                    <w:t>费用，每人每年提供不少于</w:t>
                  </w:r>
                  <w:r>
                    <w:rPr>
                      <w:rFonts w:ascii="仿宋_GB2312" w:hAnsi="仿宋_GB2312" w:cs="仿宋_GB2312" w:eastAsia="仿宋_GB2312"/>
                      <w:sz w:val="21"/>
                    </w:rPr>
                    <w:t>3次服务，每次服务一项或多项内容。</w:t>
                  </w:r>
                </w:p>
                <w:p>
                  <w:pPr>
                    <w:pStyle w:val="null3"/>
                    <w:ind w:firstLine="420"/>
                    <w:jc w:val="both"/>
                  </w:pPr>
                  <w:r>
                    <w:rPr>
                      <w:rFonts w:ascii="仿宋_GB2312" w:hAnsi="仿宋_GB2312" w:cs="仿宋_GB2312" w:eastAsia="仿宋_GB2312"/>
                      <w:sz w:val="21"/>
                    </w:rPr>
                    <w:t>4.所有服务需提供电子版照片、康复服务表单及残疾人签字纸质版记录等。</w:t>
                  </w:r>
                </w:p>
                <w:p>
                  <w:pPr>
                    <w:pStyle w:val="null3"/>
                    <w:jc w:val="center"/>
                  </w:pPr>
                  <w:r>
                    <w:rPr>
                      <w:rFonts w:ascii="仿宋_GB2312" w:hAnsi="仿宋_GB2312" w:cs="仿宋_GB2312" w:eastAsia="仿宋_GB2312"/>
                      <w:sz w:val="36"/>
                      <w:b/>
                    </w:rPr>
                    <w:t>（二）重度肢体类服务包</w:t>
                  </w:r>
                </w:p>
                <w:tbl>
                  <w:tblPr>
                    <w:tblBorders>
                      <w:top w:val="none" w:color="000000" w:sz="4"/>
                      <w:left w:val="none" w:color="000000" w:sz="4"/>
                      <w:bottom w:val="none" w:color="000000" w:sz="4"/>
                      <w:right w:val="none" w:color="000000" w:sz="4"/>
                      <w:insideH w:val="none"/>
                      <w:insideV w:val="none"/>
                    </w:tblBorders>
                  </w:tblPr>
                  <w:tblGrid>
                    <w:gridCol w:w="223"/>
                    <w:gridCol w:w="774"/>
                    <w:gridCol w:w="1351"/>
                    <w:gridCol w:w="557"/>
                  </w:tblGrid>
                  <w:tr>
                    <w:tc>
                      <w:tcPr>
                        <w:tcW w:type="dxa" w:w="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7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康复服务项目</w:t>
                        </w:r>
                      </w:p>
                    </w:tc>
                    <w:tc>
                      <w:tcPr>
                        <w:tcW w:type="dxa" w:w="1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服务内容（入户）</w:t>
                        </w:r>
                      </w:p>
                    </w:tc>
                    <w:tc>
                      <w:tcPr>
                        <w:tcW w:type="dxa" w:w="5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适合人群</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基础康复服务</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筛查建档</w:t>
                        </w:r>
                        <w:r>
                          <w:rPr>
                            <w:rFonts w:ascii="仿宋_GB2312" w:hAnsi="仿宋_GB2312" w:cs="仿宋_GB2312" w:eastAsia="仿宋_GB2312"/>
                            <w:sz w:val="20"/>
                          </w:rPr>
                          <w:t>+功能评估</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所有人</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支持性服务</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呼吸道管理、膀胱直肠管理、营养失调</w:t>
                        </w:r>
                        <w:r>
                          <w:rPr>
                            <w:rFonts w:ascii="仿宋_GB2312" w:hAnsi="仿宋_GB2312" w:cs="仿宋_GB2312" w:eastAsia="仿宋_GB2312"/>
                            <w:sz w:val="20"/>
                          </w:rPr>
                          <w:t>指导、皮肤管理指导、肌肉张力保持指</w:t>
                        </w:r>
                        <w:r>
                          <w:rPr>
                            <w:rFonts w:ascii="仿宋_GB2312" w:hAnsi="仿宋_GB2312" w:cs="仿宋_GB2312" w:eastAsia="仿宋_GB2312"/>
                            <w:sz w:val="20"/>
                          </w:rPr>
                          <w:t>导</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重度肢体障碍人群</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传统康复项目</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针灸、推拿、理疗仪</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有需求的人群</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偏瘫肢体综合训练</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肌力康复训练、红外线理疗仪、</w:t>
                        </w:r>
                        <w:r>
                          <w:rPr>
                            <w:rFonts w:ascii="仿宋_GB2312" w:hAnsi="仿宋_GB2312" w:cs="仿宋_GB2312" w:eastAsia="仿宋_GB2312"/>
                            <w:sz w:val="20"/>
                          </w:rPr>
                          <w:t>中频</w:t>
                        </w:r>
                        <w:r>
                          <w:rPr>
                            <w:rFonts w:ascii="仿宋_GB2312" w:hAnsi="仿宋_GB2312" w:cs="仿宋_GB2312" w:eastAsia="仿宋_GB2312"/>
                            <w:sz w:val="20"/>
                          </w:rPr>
                          <w:t>/低频治疗仪</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偏瘫、关节疼痛人群</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脑瘫肢体综合训练</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体位转换、姿势矫正、步态矫正训练、</w:t>
                        </w:r>
                        <w:r>
                          <w:rPr>
                            <w:rFonts w:ascii="仿宋_GB2312" w:hAnsi="仿宋_GB2312" w:cs="仿宋_GB2312" w:eastAsia="仿宋_GB2312"/>
                            <w:sz w:val="20"/>
                          </w:rPr>
                          <w:t>手眼协调训练</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脑瘫患儿</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适应性训练</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翻身训练、起坐训练、床与轮椅转移训</w:t>
                        </w:r>
                        <w:r>
                          <w:rPr>
                            <w:rFonts w:ascii="仿宋_GB2312" w:hAnsi="仿宋_GB2312" w:cs="仿宋_GB2312" w:eastAsia="仿宋_GB2312"/>
                            <w:sz w:val="20"/>
                          </w:rPr>
                          <w:t>练、关节被动活动康复训练和指导、进</w:t>
                        </w:r>
                        <w:r>
                          <w:rPr>
                            <w:rFonts w:ascii="仿宋_GB2312" w:hAnsi="仿宋_GB2312" w:cs="仿宋_GB2312" w:eastAsia="仿宋_GB2312"/>
                            <w:sz w:val="20"/>
                          </w:rPr>
                          <w:t>食训练、如厕辅助训练、穿衣训练、残</w:t>
                        </w:r>
                        <w:r>
                          <w:rPr>
                            <w:rFonts w:ascii="仿宋_GB2312" w:hAnsi="仿宋_GB2312" w:cs="仿宋_GB2312" w:eastAsia="仿宋_GB2312"/>
                            <w:sz w:val="20"/>
                          </w:rPr>
                          <w:t>疾人或陪护便后清洁擦拭训练指导</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重度肢体障碍人群</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作业疗法</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镶嵌板、分指板、手功能组合箱、</w:t>
                        </w:r>
                        <w:r>
                          <w:rPr>
                            <w:rFonts w:ascii="仿宋_GB2312" w:hAnsi="仿宋_GB2312" w:cs="仿宋_GB2312" w:eastAsia="仿宋_GB2312"/>
                            <w:sz w:val="20"/>
                          </w:rPr>
                          <w:t>精细动作训练</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脑瘫、偏瘫、上肢功</w:t>
                        </w:r>
                        <w:r>
                          <w:rPr>
                            <w:rFonts w:ascii="仿宋_GB2312" w:hAnsi="仿宋_GB2312" w:cs="仿宋_GB2312" w:eastAsia="仿宋_GB2312"/>
                            <w:sz w:val="20"/>
                          </w:rPr>
                          <w:t>能障碍人群</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关节活动训练</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膝关节、肘关节、肩关节、踝关节等关</w:t>
                        </w:r>
                        <w:r>
                          <w:rPr>
                            <w:rFonts w:ascii="仿宋_GB2312" w:hAnsi="仿宋_GB2312" w:cs="仿宋_GB2312" w:eastAsia="仿宋_GB2312"/>
                            <w:sz w:val="20"/>
                          </w:rPr>
                          <w:t>节活动康复训练和指导</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关节活动障碍人群</w:t>
                        </w:r>
                      </w:p>
                    </w:tc>
                  </w:tr>
                  <w:tr>
                    <w:tc>
                      <w:tcPr>
                        <w:tcW w:type="dxa" w:w="2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7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护理服务</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护理床、防压疮床垫等辅具使用指导；</w:t>
                        </w:r>
                        <w:r>
                          <w:rPr>
                            <w:rFonts w:ascii="仿宋_GB2312" w:hAnsi="仿宋_GB2312" w:cs="仿宋_GB2312" w:eastAsia="仿宋_GB2312"/>
                            <w:sz w:val="20"/>
                          </w:rPr>
                          <w:t>床单、被褥更换方式指导</w:t>
                        </w:r>
                      </w:p>
                    </w:tc>
                    <w:tc>
                      <w:tcPr>
                        <w:tcW w:type="dxa" w:w="5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重度肢体障碍人群</w:t>
                        </w:r>
                      </w:p>
                    </w:tc>
                  </w:tr>
                  <w:tr>
                    <w:tc>
                      <w:tcPr>
                        <w:tcW w:type="dxa" w:w="223"/>
                        <w:vMerge/>
                        <w:tcBorders>
                          <w:top w:val="none" w:color="000000" w:sz="4"/>
                          <w:left w:val="single" w:color="000000" w:sz="4"/>
                          <w:bottom w:val="single" w:color="000000" w:sz="4"/>
                          <w:right w:val="single" w:color="000000" w:sz="4"/>
                        </w:tcBorders>
                      </w:tcPr>
                      <w:p/>
                    </w:tc>
                    <w:tc>
                      <w:tcPr>
                        <w:tcW w:type="dxa" w:w="774"/>
                        <w:vMerge/>
                        <w:tcBorders>
                          <w:top w:val="none" w:color="000000" w:sz="4"/>
                          <w:left w:val="single" w:color="000000" w:sz="4"/>
                          <w:bottom w:val="single" w:color="000000" w:sz="4"/>
                          <w:right w:val="single" w:color="000000" w:sz="4"/>
                        </w:tcBorders>
                      </w:tcP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身体的定期清洗擦拭及防压疮指导；集</w:t>
                        </w:r>
                        <w:r>
                          <w:rPr>
                            <w:rFonts w:ascii="仿宋_GB2312" w:hAnsi="仿宋_GB2312" w:cs="仿宋_GB2312" w:eastAsia="仿宋_GB2312"/>
                            <w:sz w:val="20"/>
                          </w:rPr>
                          <w:t>尿器、尿管、便袋的更换指导，瘘管的清洗和更换指导</w:t>
                        </w:r>
                      </w:p>
                    </w:tc>
                    <w:tc>
                      <w:tcPr>
                        <w:tcW w:type="dxa" w:w="557"/>
                        <w:vMerge/>
                        <w:tcBorders>
                          <w:top w:val="none" w:color="000000" w:sz="4"/>
                          <w:left w:val="singl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sz w:val="20"/>
                    </w:rPr>
                    <w:t>注：</w:t>
                  </w:r>
                  <w:r>
                    <w:rPr>
                      <w:rFonts w:ascii="仿宋_GB2312" w:hAnsi="仿宋_GB2312" w:cs="仿宋_GB2312" w:eastAsia="仿宋_GB2312"/>
                      <w:sz w:val="20"/>
                    </w:rPr>
                    <w:t>1、重度肢体类：含重度肢体（1-2级）、以肢体残疾为主的多重残疾人（1-2 级）；</w:t>
                  </w:r>
                </w:p>
                <w:p>
                  <w:pPr>
                    <w:pStyle w:val="null3"/>
                    <w:ind w:firstLine="400"/>
                    <w:jc w:val="both"/>
                  </w:pPr>
                  <w:r>
                    <w:rPr>
                      <w:rFonts w:ascii="仿宋_GB2312" w:hAnsi="仿宋_GB2312" w:cs="仿宋_GB2312" w:eastAsia="仿宋_GB2312"/>
                      <w:sz w:val="20"/>
                    </w:rPr>
                    <w:t>2.含筛查评估建档</w:t>
                  </w:r>
                  <w:r>
                    <w:rPr>
                      <w:rFonts w:ascii="仿宋_GB2312" w:hAnsi="仿宋_GB2312" w:cs="仿宋_GB2312" w:eastAsia="仿宋_GB2312"/>
                      <w:sz w:val="20"/>
                    </w:rPr>
                    <w:t>资料印刷</w:t>
                  </w:r>
                  <w:r>
                    <w:rPr>
                      <w:rFonts w:ascii="仿宋_GB2312" w:hAnsi="仿宋_GB2312" w:cs="仿宋_GB2312" w:eastAsia="仿宋_GB2312"/>
                      <w:sz w:val="20"/>
                    </w:rPr>
                    <w:t>费用，每人每年提供不少于三次入户服务，每次提供至少</w:t>
                  </w:r>
                  <w:r>
                    <w:rPr>
                      <w:rFonts w:ascii="仿宋_GB2312" w:hAnsi="仿宋_GB2312" w:cs="仿宋_GB2312" w:eastAsia="仿宋_GB2312"/>
                      <w:sz w:val="20"/>
                    </w:rPr>
                    <w:t>2项康复服务项目，每</w:t>
                  </w:r>
                  <w:r>
                    <w:rPr>
                      <w:rFonts w:ascii="仿宋_GB2312" w:hAnsi="仿宋_GB2312" w:cs="仿宋_GB2312" w:eastAsia="仿宋_GB2312"/>
                      <w:sz w:val="20"/>
                    </w:rPr>
                    <w:t>次</w:t>
                  </w:r>
                  <w:r>
                    <w:rPr>
                      <w:rFonts w:ascii="仿宋_GB2312" w:hAnsi="仿宋_GB2312" w:cs="仿宋_GB2312" w:eastAsia="仿宋_GB2312"/>
                      <w:sz w:val="20"/>
                    </w:rPr>
                    <w:t>必须在在适应性训练、支持性服务、护理服务内容中选择</w:t>
                  </w:r>
                  <w:r>
                    <w:rPr>
                      <w:rFonts w:ascii="仿宋_GB2312" w:hAnsi="仿宋_GB2312" w:cs="仿宋_GB2312" w:eastAsia="仿宋_GB2312"/>
                      <w:sz w:val="20"/>
                    </w:rPr>
                    <w:t>2项服务。</w:t>
                  </w:r>
                </w:p>
                <w:p>
                  <w:pPr>
                    <w:pStyle w:val="null3"/>
                    <w:ind w:firstLine="400"/>
                    <w:jc w:val="both"/>
                  </w:pPr>
                  <w:r>
                    <w:rPr>
                      <w:rFonts w:ascii="仿宋_GB2312" w:hAnsi="仿宋_GB2312" w:cs="仿宋_GB2312" w:eastAsia="仿宋_GB2312"/>
                      <w:sz w:val="20"/>
                    </w:rPr>
                    <w:t>3.所有服务需提供电子版照片、康复服务表单及残疾人签字纸质版记录等以备甲方查验。</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服务方按项目服务要求及特点，自行组织实施与管理，建立以负责人为核心的履行合同所必需人员团队，保证项目顺利实施。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供应商须根据本项目服务特点及需求提供相关的服务器材、设备。服务器材、设备配置充分、科学、合理，保证项目顺利实施。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（1）业绩：供应商须提供2022年1月1日至今同类项目业绩。 （2）违约责任：1）按《中华人民共和国民法典》中的相关条款执行。 2）本合同履行期间，如成交单位未能按照本合同约定完成相应目标要求，采购人有权要求成交单位支付违约金，同时采购人有权视成交单位违约情况决定是否单方解除本合同，并要求成交单位赔偿采购人损失。 （3）结算方式： 全部服务完成,交付后经验收合格，甲方将根据乙方提供的签约服务人员花名册和省精准康复服务管理系统里服务数据比对,以实际签约服务人数和服务次数对产生的服务经费在达到付款条件起7日进行结算支付。 注：1）合同价款包括但不限于人员工资、保险、服务费、管理费以及增值税等税费等完成本次采购所要求的服务且验收合格的所有费用。 2）合同为固定单价合同，以实际服务人次据实结算，不受市场价变化的影响。</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合同签订之日起至2025年11月30日止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服务标准：达到国家相关规范合格标准及采购人考核要求。 工作完成后，由甲方组织，对服务结果进行验收，验收标准应符合相应主管部门的审查要求，验收达不到要求的，继续完善至符合要求。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完成本项目服务完成数量100%，经验收合格后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合同金额即中成交价，合同价格为含税价，乙方提供服务所发生的一切费用（包括人工费、设备费、管理费、利润、税金、风险及完成工作准备阶段、实施阶段、完成本项目所需的全部费用）等都已包含于合同价款中。在提供服务的过程中的任何遗漏，均由成交供应商免费提供，采购人将不再支付任何费用。 二、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四、成交供应商在领取成交通知书时提供纸质版投标文件两套，应通过专用制作软件直接打印，确保与电子投标文件保持一致，不允许修改和补充。提交地点：西安曲江新区雁南五路曲江影视大厦19层。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其他</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只能有一个有效报价，不得提交选择性报价，且报价不超过预算金额或最高限价或磋商小组认为低于成本价的报价。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应满足竞争性磋商文件要求，响应文件未含有采购人不能接受的附加条件，且无其他无效标的情形。</w:t>
            </w:r>
          </w:p>
        </w:tc>
        <w:tc>
          <w:tcPr>
            <w:tcW w:type="dxa" w:w="1661"/>
          </w:tcPr>
          <w:p>
            <w:pPr>
              <w:pStyle w:val="null3"/>
            </w:pPr>
            <w:r>
              <w:rPr>
                <w:rFonts w:ascii="仿宋_GB2312" w:hAnsi="仿宋_GB2312" w:cs="仿宋_GB2312" w:eastAsia="仿宋_GB2312"/>
              </w:rPr>
              <w:t>商务应答表 服务内容及服务要求应答表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提出切实可行的残疾人家庭医生服务方案。内容包括但不限于①服务团队组建方案；②服务对象评估方案；③个性化服务计划制定；④整体服务指导方案；⑤开展签约服务工作流程；⑥培训内容和方法等内容进行综合评审。 方案完整，完全包含以上6项且满足实际工作需求的得18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管理体系及措施</w:t>
            </w:r>
          </w:p>
        </w:tc>
        <w:tc>
          <w:tcPr>
            <w:tcW w:type="dxa" w:w="2492"/>
          </w:tcPr>
          <w:p>
            <w:pPr>
              <w:pStyle w:val="null3"/>
            </w:pPr>
            <w:r>
              <w:rPr>
                <w:rFonts w:ascii="仿宋_GB2312" w:hAnsi="仿宋_GB2312" w:cs="仿宋_GB2312" w:eastAsia="仿宋_GB2312"/>
              </w:rPr>
              <w:t>根据项目特点提出合理的服务理念。内容包括但不限于①服务质量管理及检查监督、投诉处理、服务改进；②服务对象项目全流程档案管理；③业务开展与各街道对接方案；④健康管理措施及完善保障机制等内容进行综合评审。方案完整，完全包含以上4项且满足实际工作需求的得16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须根据本项目服务特点及需求制定服务保障措施。内容包括但不限于①服务质量保障措施；②服务时限保障措施；③服务器材设备配置保障措施；④人员团队组织保障措施等内容进行综合评审。方案完整，完全包含以上4项且满足实际工作需求的得16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突发应急预案</w:t>
            </w:r>
          </w:p>
        </w:tc>
        <w:tc>
          <w:tcPr>
            <w:tcW w:type="dxa" w:w="2492"/>
          </w:tcPr>
          <w:p>
            <w:pPr>
              <w:pStyle w:val="null3"/>
            </w:pPr>
            <w:r>
              <w:rPr>
                <w:rFonts w:ascii="仿宋_GB2312" w:hAnsi="仿宋_GB2312" w:cs="仿宋_GB2312" w:eastAsia="仿宋_GB2312"/>
              </w:rPr>
              <w:t>供应商须根据本项目服务对象的特殊性制定应急预案，服务过程中出现突发应急事件。内容包括但不限于①服务对象身体健康、生活环境方面；②服务人员技术以及设备方面可能发生的应急情况；③特定情况或突发事件的应急情况等内容进行综合评审。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针对本项目提供的专业技术人员需至少配备：①医生：1名及以上自有或顾问医生(医生须具备康复治疗类专业，提供相关执业证书，顾问医生须提供顾问协议)，②康复治疗师：1名及以上的康复治疗师；③ 专业护理人员：1名及以上的专业护理人员(持有康复治疗技术，或护理资格证书)。（1）满足以上所有内容得6分，不满足得0分。（2）每增加1名(医生或康复治疗师或专业护理人员)加1.5分，最高加6分。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服务器材、设备配置充分、科学、合理计9分；服务器材、设备配置基本充分、基本科学、合理计6分；服务器材、设备配置不够充分、不够科学、合理计3分；未提供或提供的内容完全脱离本项目实际计0分。 注：评审因素中“充分、科学、合理”是指内容不缺项、完整、不缺少关键点，专门针对本项目或适用本项目特性、未套用其他项目内容；对同一问题前后表述一致且不存在逻辑漏洞、科学原理或常识错误。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服务器材、设备配备情况</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供应商提供自2022年1月1日起至今同类项目业绩，业绩以合同为准。（时间以签订的合同日期为准）,每份计2分,最高得10分。（提供合同复印件并加盖公章)注：合同内容须清晰可辨认，否则视为无效合同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其他</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详见附件：服务器材、设备配备情况</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