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版本号：XAJG（ZFCG）-2025070620250710001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2025-2026学年度校（园)方责任保险采购项目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XAJG（ZFCG）-20250706</w:t>
      </w:r>
      <w:r>
        <w:br/>
      </w:r>
      <w:r>
        <w:br/>
      </w:r>
      <w:r>
        <w:br/>
      </w:r>
    </w:p>
    <w:p>
      <w:pPr>
        <w:pStyle w:val="null3"/>
        <w:jc w:val="center"/>
        <w:outlineLvl w:val="2"/>
      </w:pPr>
      <w:r>
        <w:rPr>
          <w:rFonts w:ascii="仿宋_GB2312" w:hAnsi="仿宋_GB2312" w:cs="仿宋_GB2312" w:eastAsia="仿宋_GB2312"/>
          <w:sz w:val="28"/>
          <w:b/>
        </w:rPr>
        <w:t>西安市鄠邑区教育局</w:t>
      </w:r>
    </w:p>
    <w:p>
      <w:pPr>
        <w:pStyle w:val="null3"/>
        <w:jc w:val="center"/>
        <w:outlineLvl w:val="2"/>
      </w:pPr>
      <w:r>
        <w:rPr>
          <w:rFonts w:ascii="仿宋_GB2312" w:hAnsi="仿宋_GB2312" w:cs="仿宋_GB2312" w:eastAsia="仿宋_GB2312"/>
          <w:sz w:val="28"/>
          <w:b/>
        </w:rPr>
        <w:t>西安建工建设工程招标有限公司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西安建工建设工程招标有限公司</w:t>
      </w:r>
      <w:r>
        <w:rPr>
          <w:rFonts w:ascii="仿宋_GB2312" w:hAnsi="仿宋_GB2312" w:cs="仿宋_GB2312" w:eastAsia="仿宋_GB2312"/>
        </w:rPr>
        <w:t>（以下简称“代理机构”）受</w:t>
      </w:r>
      <w:r>
        <w:rPr>
          <w:rFonts w:ascii="仿宋_GB2312" w:hAnsi="仿宋_GB2312" w:cs="仿宋_GB2312" w:eastAsia="仿宋_GB2312"/>
        </w:rPr>
        <w:t>西安市鄠邑区教育局</w:t>
      </w:r>
      <w:r>
        <w:rPr>
          <w:rFonts w:ascii="仿宋_GB2312" w:hAnsi="仿宋_GB2312" w:cs="仿宋_GB2312" w:eastAsia="仿宋_GB2312"/>
        </w:rPr>
        <w:t>委托，拟对</w:t>
      </w:r>
      <w:r>
        <w:rPr>
          <w:rFonts w:ascii="仿宋_GB2312" w:hAnsi="仿宋_GB2312" w:cs="仿宋_GB2312" w:eastAsia="仿宋_GB2312"/>
        </w:rPr>
        <w:t>2025-2026学年度校（园)方责任保险采购项目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XAJG（ZFCG）-20250706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2025-2026学年度校（园)方责任保险采购项目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为进一步建立完善校园意外伤害事故风险管理机制，保障师生合法权益，降低学校安全责任风险，保障教育安全稳定发展，现实施2025-2026学年度校 (园)方责任保险。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1、主体资格证明文件：提供合格有效的法人或者其他组织的营业执照、事业单位法人证等证明文件或自然人的身份证明</w:t>
      </w:r>
    </w:p>
    <w:p>
      <w:pPr>
        <w:pStyle w:val="null3"/>
      </w:pPr>
      <w:r>
        <w:rPr>
          <w:rFonts w:ascii="仿宋_GB2312" w:hAnsi="仿宋_GB2312" w:cs="仿宋_GB2312" w:eastAsia="仿宋_GB2312"/>
        </w:rPr>
        <w:t>2、授权书：法定代表人（主要负责人）委托代理人参加磋商时，应提供法定代表人（主要负责人）委托授权书；法定代表人（主要负责人）亲自参加磋商时，应提供法定代表人（主要负责人）身份证明书</w:t>
      </w:r>
    </w:p>
    <w:p>
      <w:pPr>
        <w:pStyle w:val="null3"/>
      </w:pPr>
      <w:r>
        <w:rPr>
          <w:rFonts w:ascii="仿宋_GB2312" w:hAnsi="仿宋_GB2312" w:cs="仿宋_GB2312" w:eastAsia="仿宋_GB2312"/>
        </w:rPr>
        <w:t>3、财务状况：提供2023年度或2024年度经审计的财务报告（成立时间至提交响应文件提交截止时间不足一年的可提供成立后任意时段的资产负债表），或响应文件提交截止时间前六个月内银行出具的资信证明</w:t>
      </w:r>
    </w:p>
    <w:p>
      <w:pPr>
        <w:pStyle w:val="null3"/>
      </w:pPr>
      <w:r>
        <w:rPr>
          <w:rFonts w:ascii="仿宋_GB2312" w:hAnsi="仿宋_GB2312" w:cs="仿宋_GB2312" w:eastAsia="仿宋_GB2312"/>
        </w:rPr>
        <w:t>4、税收缴纳证明：提供响应文件提交截止时间前一年内已缴纳的至少一个月的纳税证明或完税证明（任意税种），依法免税的单位应提供相关证明材料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响应文件提交截止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6、专业技术能力说明：供应商提供具有履行本合同所必需的设备和专业技术能力的承诺函</w:t>
      </w:r>
    </w:p>
    <w:p>
      <w:pPr>
        <w:pStyle w:val="null3"/>
      </w:pPr>
      <w:r>
        <w:rPr>
          <w:rFonts w:ascii="仿宋_GB2312" w:hAnsi="仿宋_GB2312" w:cs="仿宋_GB2312" w:eastAsia="仿宋_GB2312"/>
        </w:rPr>
        <w:t>7、信用记录：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供应商无须提供，磋商现场查询）</w:t>
      </w:r>
    </w:p>
    <w:p>
      <w:pPr>
        <w:pStyle w:val="null3"/>
      </w:pPr>
      <w:r>
        <w:rPr>
          <w:rFonts w:ascii="仿宋_GB2312" w:hAnsi="仿宋_GB2312" w:cs="仿宋_GB2312" w:eastAsia="仿宋_GB2312"/>
        </w:rPr>
        <w:t>8、无重大违法说明：参加本次政府采购活动前3年内在经营活动中没有重大违法记录，以及未被列入失信被执行人、重大税收违法案件当事人名单、政府采购严重违法失信行为记录名单的书面声明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9、资质证明：具有国家金融监督管理总局（原中国银行保险监督管理委员会）颁发的经营保险业务许可证或保险许可证</w:t>
      </w:r>
    </w:p>
    <w:p>
      <w:pPr>
        <w:pStyle w:val="null3"/>
      </w:pPr>
      <w:r>
        <w:rPr>
          <w:rFonts w:ascii="仿宋_GB2312" w:hAnsi="仿宋_GB2312" w:cs="仿宋_GB2312" w:eastAsia="仿宋_GB2312"/>
        </w:rPr>
        <w:t>10、承诺：同一保险机构只允许其本部或一家分支机构参与磋商</w:t>
      </w:r>
    </w:p>
    <w:p>
      <w:pPr>
        <w:pStyle w:val="null3"/>
      </w:pPr>
      <w:r>
        <w:rPr>
          <w:rFonts w:ascii="仿宋_GB2312" w:hAnsi="仿宋_GB2312" w:cs="仿宋_GB2312" w:eastAsia="仿宋_GB2312"/>
        </w:rPr>
        <w:t>11、联合体承诺书：本项目不接受联合体磋商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鄠邑区涝滨南路3号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029-84812962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西安建工建设工程招标有限公司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西安市碑林区小东门外炮房街48号盈栋大厦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牛超、丁雨昕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029-82400102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采购代理服务费以采购预算为基础，参照《国家计委关于印发招标代理服务收费管理暂行办法的通知》（计价格〔2002〕1980号）和国家发改委办公厅颁发的《关于招标代理服务收费有关问题的通知》（发改办价格〔2003〕857号）文件，以及《国家发展改革委关于进一步放开建设项目专业服务价格的通知》（发改价格〔2015〕299号）规定标准计算收取。具体收费金额将在成交公告中公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西安市鄠邑区教育局</w:t>
      </w:r>
      <w:r>
        <w:rPr>
          <w:rFonts w:ascii="仿宋_GB2312" w:hAnsi="仿宋_GB2312" w:cs="仿宋_GB2312" w:eastAsia="仿宋_GB2312"/>
        </w:rPr>
        <w:t>和</w:t>
      </w:r>
      <w:r>
        <w:rPr>
          <w:rFonts w:ascii="仿宋_GB2312" w:hAnsi="仿宋_GB2312" w:cs="仿宋_GB2312" w:eastAsia="仿宋_GB2312"/>
        </w:rPr>
        <w:t>西安建工建设工程招标有限公司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西安建工建设工程招标有限公司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西安建工建设工程招标有限公司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达到国家、省、市相关行业规范要求的“合格”标准，符合采购人的要求。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联系人：牛超、丁雨昕</w:t>
      </w:r>
    </w:p>
    <w:p>
      <w:pPr>
        <w:pStyle w:val="null3"/>
      </w:pPr>
      <w:r>
        <w:rPr>
          <w:rFonts w:ascii="仿宋_GB2312" w:hAnsi="仿宋_GB2312" w:cs="仿宋_GB2312" w:eastAsia="仿宋_GB2312"/>
        </w:rPr>
        <w:t>联系电话：029-82400102</w:t>
      </w:r>
    </w:p>
    <w:p>
      <w:pPr>
        <w:pStyle w:val="null3"/>
      </w:pPr>
      <w:r>
        <w:rPr>
          <w:rFonts w:ascii="仿宋_GB2312" w:hAnsi="仿宋_GB2312" w:cs="仿宋_GB2312" w:eastAsia="仿宋_GB2312"/>
        </w:rPr>
        <w:t>地址：西安市碑林区小东门外炮房街48号盈栋大厦</w:t>
      </w:r>
    </w:p>
    <w:p>
      <w:pPr>
        <w:pStyle w:val="null3"/>
      </w:pPr>
      <w:r>
        <w:rPr>
          <w:rFonts w:ascii="仿宋_GB2312" w:hAnsi="仿宋_GB2312" w:cs="仿宋_GB2312" w:eastAsia="仿宋_GB2312"/>
        </w:rPr>
        <w:t>邮编： 710048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为进一步建立完善校园意外伤害事故风险管理机制，保障师生合法权益，降低学校安全责任风险，保障教育安全稳定发展，现实施2025-2026学年度校 (园)方责任保险。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保险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00"/>
              </w:rPr>
              <w:t>一、项目概况</w:t>
            </w:r>
          </w:p>
          <w:p>
            <w:pPr>
              <w:pStyle w:val="null3"/>
            </w:pPr>
            <w:r>
              <w:rPr>
                <w:rFonts w:ascii="仿宋_GB2312" w:hAnsi="仿宋_GB2312" w:cs="仿宋_GB2312" w:eastAsia="仿宋_GB2312"/>
                <w:sz w:val="24"/>
                <w:color w:val="000000"/>
              </w:rPr>
              <w:t>为进一步建立完善校园意外伤害事故风险管理机制，保障师生合法权益，降低学校安全责任风险，保障教育安全稳定发展，现实施</w:t>
            </w:r>
            <w:r>
              <w:rPr>
                <w:rFonts w:ascii="仿宋_GB2312" w:hAnsi="仿宋_GB2312" w:cs="仿宋_GB2312" w:eastAsia="仿宋_GB2312"/>
                <w:sz w:val="24"/>
                <w:color w:val="000000"/>
              </w:rPr>
              <w:t>2025-2026学年度校 (园)方责任保险。</w:t>
            </w:r>
          </w:p>
          <w:p>
            <w:pPr>
              <w:pStyle w:val="null3"/>
            </w:pPr>
            <w:r>
              <w:rPr>
                <w:rFonts w:ascii="仿宋_GB2312" w:hAnsi="仿宋_GB2312" w:cs="仿宋_GB2312" w:eastAsia="仿宋_GB2312"/>
                <w:sz w:val="24"/>
                <w:b/>
                <w:color w:val="000000"/>
              </w:rPr>
              <w:t>二、服务内容</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1）投保险种：校园方责任保险，含附加无过失责任保险及食品安全保险。</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2）在服务期限内，若采购人、被保险学校对成交供应商在本次服务期限内的承保工作有不良反映的，采购人有权终止合同，另行招标。</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3）在服务期限内，如遇保费调整等特殊情况，采购人有权根据项目实际情况处理。</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4）保费以投保时实际统计人数计算。</w:t>
            </w:r>
          </w:p>
          <w:p>
            <w:pPr>
              <w:pStyle w:val="null3"/>
            </w:pPr>
            <w:r>
              <w:rPr>
                <w:rFonts w:ascii="仿宋_GB2312" w:hAnsi="仿宋_GB2312" w:cs="仿宋_GB2312" w:eastAsia="仿宋_GB2312"/>
                <w:sz w:val="24"/>
                <w:b/>
                <w:color w:val="000000"/>
              </w:rPr>
              <w:t>三、技术要求</w:t>
            </w:r>
          </w:p>
          <w:p>
            <w:pPr>
              <w:pStyle w:val="null3"/>
            </w:pPr>
            <w:r>
              <w:rPr>
                <w:rFonts w:ascii="仿宋_GB2312" w:hAnsi="仿宋_GB2312" w:cs="仿宋_GB2312" w:eastAsia="仿宋_GB2312"/>
                <w:sz w:val="24"/>
                <w:color w:val="000000"/>
              </w:rPr>
              <w:t>1、投保范围：全区各级各类学校(公、民办)中小学及幼儿园学生(以2025年9月 1 日学生在校实际人数为准)</w:t>
            </w:r>
            <w:r>
              <w:rPr>
                <w:rFonts w:ascii="仿宋_GB2312" w:hAnsi="仿宋_GB2312" w:cs="仿宋_GB2312" w:eastAsia="仿宋_GB2312"/>
                <w:sz w:val="24"/>
                <w:color w:val="000000"/>
              </w:rPr>
              <w:t>，本次保险内容为：</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1）校（园）方责任险每生每年保费10元；</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2）校（园）方无过失责任险每生每年保费5元；</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3）食安险按照学校人数计算。</w:t>
            </w:r>
          </w:p>
          <w:p>
            <w:pPr>
              <w:pStyle w:val="null3"/>
            </w:pPr>
            <w:r>
              <w:rPr>
                <w:rFonts w:ascii="仿宋_GB2312" w:hAnsi="仿宋_GB2312" w:cs="仿宋_GB2312" w:eastAsia="仿宋_GB2312"/>
                <w:sz w:val="24"/>
                <w:color w:val="000000"/>
              </w:rPr>
              <w:t>2、西安市鄠邑区教育局辖区公、民办中小学、幼儿园投保校方责任保险的，以本次磋商内容及报价为依据执行。</w:t>
            </w:r>
          </w:p>
          <w:p>
            <w:pPr>
              <w:pStyle w:val="null3"/>
            </w:pPr>
            <w:r>
              <w:rPr>
                <w:rFonts w:ascii="仿宋_GB2312" w:hAnsi="仿宋_GB2312" w:cs="仿宋_GB2312" w:eastAsia="仿宋_GB2312"/>
                <w:sz w:val="24"/>
                <w:color w:val="000000"/>
              </w:rPr>
              <w:t>3、赔偿限额</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1）校（园）方责任险</w:t>
            </w:r>
          </w:p>
          <w:p>
            <w:pPr>
              <w:pStyle w:val="null3"/>
            </w:pPr>
            <w:r>
              <w:rPr>
                <w:rFonts w:ascii="仿宋_GB2312" w:hAnsi="仿宋_GB2312" w:cs="仿宋_GB2312" w:eastAsia="仿宋_GB2312"/>
                <w:sz w:val="24"/>
                <w:color w:val="000000"/>
              </w:rPr>
              <w:t>1-1、每生每年累计赔偿限额不低于人民币肆拾万元（￥400000.00元）。</w:t>
            </w:r>
          </w:p>
          <w:p>
            <w:pPr>
              <w:pStyle w:val="null3"/>
            </w:pPr>
            <w:r>
              <w:rPr>
                <w:rFonts w:ascii="仿宋_GB2312" w:hAnsi="仿宋_GB2312" w:cs="仿宋_GB2312" w:eastAsia="仿宋_GB2312"/>
                <w:sz w:val="24"/>
                <w:color w:val="000000"/>
              </w:rPr>
              <w:t>1-2、每所学校每次事故赔偿限额不低于人民币捌佰万元 (￥8000000.00元)。</w:t>
            </w:r>
          </w:p>
          <w:p>
            <w:pPr>
              <w:pStyle w:val="null3"/>
            </w:pPr>
            <w:r>
              <w:rPr>
                <w:rFonts w:ascii="仿宋_GB2312" w:hAnsi="仿宋_GB2312" w:cs="仿宋_GB2312" w:eastAsia="仿宋_GB2312"/>
                <w:sz w:val="24"/>
                <w:color w:val="000000"/>
              </w:rPr>
              <w:t>1-3、每所学校每年累计赔偿不设赔偿限额。</w:t>
            </w:r>
          </w:p>
          <w:p>
            <w:pPr>
              <w:pStyle w:val="null3"/>
            </w:pPr>
            <w:r>
              <w:rPr>
                <w:rFonts w:ascii="仿宋_GB2312" w:hAnsi="仿宋_GB2312" w:cs="仿宋_GB2312" w:eastAsia="仿宋_GB2312"/>
                <w:sz w:val="24"/>
                <w:color w:val="000000"/>
              </w:rPr>
              <w:t>1-4、以上所有赔偿项目均不设免赔额。</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2）校（园）方无过失责任险</w:t>
            </w:r>
          </w:p>
          <w:p>
            <w:pPr>
              <w:pStyle w:val="null3"/>
            </w:pPr>
            <w:r>
              <w:rPr>
                <w:rFonts w:ascii="仿宋_GB2312" w:hAnsi="仿宋_GB2312" w:cs="仿宋_GB2312" w:eastAsia="仿宋_GB2312"/>
                <w:sz w:val="24"/>
                <w:color w:val="000000"/>
              </w:rPr>
              <w:t>2-1、每生每年累计赔偿限额不低于人民币壹拾万元（￥100000.00元）。</w:t>
            </w:r>
          </w:p>
          <w:p>
            <w:pPr>
              <w:pStyle w:val="null3"/>
            </w:pPr>
            <w:r>
              <w:rPr>
                <w:rFonts w:ascii="仿宋_GB2312" w:hAnsi="仿宋_GB2312" w:cs="仿宋_GB2312" w:eastAsia="仿宋_GB2312"/>
                <w:sz w:val="24"/>
                <w:color w:val="000000"/>
              </w:rPr>
              <w:t>2-2、每所学校每次事故赔偿限额不低于人民币壹佰万元(￥1000000.00元)。</w:t>
            </w:r>
          </w:p>
          <w:p>
            <w:pPr>
              <w:pStyle w:val="null3"/>
            </w:pPr>
            <w:r>
              <w:rPr>
                <w:rFonts w:ascii="仿宋_GB2312" w:hAnsi="仿宋_GB2312" w:cs="仿宋_GB2312" w:eastAsia="仿宋_GB2312"/>
                <w:sz w:val="24"/>
                <w:color w:val="000000"/>
              </w:rPr>
              <w:t>2-3、每所学校每年累计赔偿不设赔偿限额。</w:t>
            </w:r>
          </w:p>
          <w:p>
            <w:pPr>
              <w:pStyle w:val="null3"/>
            </w:pPr>
            <w:r>
              <w:rPr>
                <w:rFonts w:ascii="仿宋_GB2312" w:hAnsi="仿宋_GB2312" w:cs="仿宋_GB2312" w:eastAsia="仿宋_GB2312"/>
                <w:sz w:val="24"/>
                <w:color w:val="000000"/>
              </w:rPr>
              <w:t>2-4、以上所有赔偿项目均不设免赔额。</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3）食品安全责任险</w:t>
            </w:r>
          </w:p>
          <w:p>
            <w:pPr>
              <w:pStyle w:val="null3"/>
            </w:pPr>
            <w:r>
              <w:rPr>
                <w:rFonts w:ascii="仿宋_GB2312" w:hAnsi="仿宋_GB2312" w:cs="仿宋_GB2312" w:eastAsia="仿宋_GB2312"/>
                <w:sz w:val="24"/>
                <w:color w:val="000000"/>
              </w:rPr>
              <w:t>3-1方案一</w:t>
            </w:r>
          </w:p>
          <w:p>
            <w:pPr>
              <w:pStyle w:val="null3"/>
            </w:pPr>
            <w:r>
              <w:rPr>
                <w:rFonts w:ascii="仿宋_GB2312" w:hAnsi="仿宋_GB2312" w:cs="仿宋_GB2312" w:eastAsia="仿宋_GB2312"/>
                <w:sz w:val="24"/>
                <w:color w:val="000000"/>
              </w:rPr>
              <w:t>3-1.1、累计赔偿限额100万</w:t>
            </w:r>
          </w:p>
          <w:p>
            <w:pPr>
              <w:pStyle w:val="null3"/>
            </w:pPr>
            <w:r>
              <w:rPr>
                <w:rFonts w:ascii="仿宋_GB2312" w:hAnsi="仿宋_GB2312" w:cs="仿宋_GB2312" w:eastAsia="仿宋_GB2312"/>
                <w:sz w:val="24"/>
                <w:color w:val="000000"/>
              </w:rPr>
              <w:t>3-1.2、每次事故赔偿限额10万</w:t>
            </w:r>
          </w:p>
          <w:p>
            <w:pPr>
              <w:pStyle w:val="null3"/>
            </w:pPr>
            <w:r>
              <w:rPr>
                <w:rFonts w:ascii="仿宋_GB2312" w:hAnsi="仿宋_GB2312" w:cs="仿宋_GB2312" w:eastAsia="仿宋_GB2312"/>
                <w:sz w:val="24"/>
                <w:color w:val="000000"/>
              </w:rPr>
              <w:t>3-1.3、每人每次事故赔偿限额5万</w:t>
            </w:r>
          </w:p>
          <w:p>
            <w:pPr>
              <w:pStyle w:val="null3"/>
            </w:pPr>
            <w:r>
              <w:rPr>
                <w:rFonts w:ascii="仿宋_GB2312" w:hAnsi="仿宋_GB2312" w:cs="仿宋_GB2312" w:eastAsia="仿宋_GB2312"/>
                <w:sz w:val="24"/>
                <w:color w:val="000000"/>
              </w:rPr>
              <w:t>3-2方案二</w:t>
            </w:r>
          </w:p>
          <w:p>
            <w:pPr>
              <w:pStyle w:val="null3"/>
            </w:pPr>
            <w:r>
              <w:rPr>
                <w:rFonts w:ascii="仿宋_GB2312" w:hAnsi="仿宋_GB2312" w:cs="仿宋_GB2312" w:eastAsia="仿宋_GB2312"/>
                <w:sz w:val="24"/>
                <w:color w:val="000000"/>
              </w:rPr>
              <w:t>3-2.1、累计赔偿限额300万</w:t>
            </w:r>
          </w:p>
          <w:p>
            <w:pPr>
              <w:pStyle w:val="null3"/>
            </w:pPr>
            <w:r>
              <w:rPr>
                <w:rFonts w:ascii="仿宋_GB2312" w:hAnsi="仿宋_GB2312" w:cs="仿宋_GB2312" w:eastAsia="仿宋_GB2312"/>
                <w:sz w:val="24"/>
                <w:color w:val="000000"/>
              </w:rPr>
              <w:t>3-2.2、每次事故赔偿限额200万</w:t>
            </w:r>
          </w:p>
          <w:p>
            <w:pPr>
              <w:pStyle w:val="null3"/>
            </w:pPr>
            <w:r>
              <w:rPr>
                <w:rFonts w:ascii="仿宋_GB2312" w:hAnsi="仿宋_GB2312" w:cs="仿宋_GB2312" w:eastAsia="仿宋_GB2312"/>
                <w:sz w:val="24"/>
                <w:color w:val="000000"/>
              </w:rPr>
              <w:t>3-2.3、每人每次事故赔偿限额20万</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、服务方案</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）承保服务</w:t>
            </w:r>
          </w:p>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、协助各级教育行政部门做好投保学校的各项承保工作。</w:t>
            </w:r>
          </w:p>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、协助各级教育行政部门做好对被保险学校的宣传和培训工作。</w:t>
            </w:r>
          </w:p>
          <w:p>
            <w:pPr>
              <w:pStyle w:val="null3"/>
            </w:pPr>
            <w:r>
              <w:rPr>
                <w:rFonts w:ascii="仿宋_GB2312" w:hAnsi="仿宋_GB2312" w:cs="仿宋_GB2312" w:eastAsia="仿宋_GB2312"/>
                <w:sz w:val="24"/>
                <w:color w:val="000000"/>
              </w:rPr>
              <w:t>1-3</w:t>
            </w:r>
            <w:r>
              <w:rPr>
                <w:rFonts w:ascii="仿宋_GB2312" w:hAnsi="仿宋_GB2312" w:cs="仿宋_GB2312" w:eastAsia="仿宋_GB2312"/>
                <w:sz w:val="24"/>
                <w:color w:val="000000"/>
              </w:rPr>
              <w:t>、自收到被保险学校投保材料后</w:t>
            </w:r>
            <w:r>
              <w:rPr>
                <w:rFonts w:ascii="仿宋_GB2312" w:hAnsi="仿宋_GB2312" w:cs="仿宋_GB2312" w:eastAsia="仿宋_GB2312"/>
                <w:sz w:val="24"/>
                <w:color w:val="000000"/>
              </w:rPr>
              <w:t>5</w:t>
            </w:r>
            <w:r>
              <w:rPr>
                <w:rFonts w:ascii="仿宋_GB2312" w:hAnsi="仿宋_GB2312" w:cs="仿宋_GB2312" w:eastAsia="仿宋_GB2312"/>
                <w:sz w:val="24"/>
                <w:color w:val="000000"/>
              </w:rPr>
              <w:t>个工作日内出具正式保险单和发票。</w:t>
            </w:r>
          </w:p>
          <w:p>
            <w:pPr>
              <w:pStyle w:val="null3"/>
            </w:pPr>
            <w:r>
              <w:rPr>
                <w:rFonts w:ascii="仿宋_GB2312" w:hAnsi="仿宋_GB2312" w:cs="仿宋_GB2312" w:eastAsia="仿宋_GB2312"/>
                <w:sz w:val="24"/>
                <w:color w:val="000000"/>
              </w:rPr>
              <w:t>1-4</w:t>
            </w:r>
            <w:r>
              <w:rPr>
                <w:rFonts w:ascii="仿宋_GB2312" w:hAnsi="仿宋_GB2312" w:cs="仿宋_GB2312" w:eastAsia="仿宋_GB2312"/>
                <w:sz w:val="24"/>
                <w:color w:val="000000"/>
              </w:rPr>
              <w:t>、被保险学校有人员变动、名称或地址变更、合并、注销、分立、设立分校等事宜时，承保公司做好上述事项的保全服务工作，并在接到学校批改申请材料的</w:t>
            </w:r>
            <w:r>
              <w:rPr>
                <w:rFonts w:ascii="仿宋_GB2312" w:hAnsi="仿宋_GB2312" w:cs="仿宋_GB2312" w:eastAsia="仿宋_GB2312"/>
                <w:sz w:val="24"/>
                <w:color w:val="000000"/>
              </w:rPr>
              <w:t>5</w:t>
            </w:r>
            <w:r>
              <w:rPr>
                <w:rFonts w:ascii="仿宋_GB2312" w:hAnsi="仿宋_GB2312" w:cs="仿宋_GB2312" w:eastAsia="仿宋_GB2312"/>
                <w:sz w:val="24"/>
                <w:color w:val="000000"/>
              </w:rPr>
              <w:t>个工作日内出具批单和发票。全区被保险学校人数增加不超过</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的，不另外收取保费。</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）理赔服务</w:t>
            </w:r>
          </w:p>
          <w:p>
            <w:pPr>
              <w:pStyle w:val="null3"/>
            </w:pPr>
            <w:r>
              <w:rPr>
                <w:rFonts w:ascii="仿宋_GB2312" w:hAnsi="仿宋_GB2312" w:cs="仿宋_GB2312" w:eastAsia="仿宋_GB2312"/>
                <w:sz w:val="24"/>
                <w:color w:val="000000"/>
              </w:rPr>
              <w:t>2-1</w:t>
            </w:r>
            <w:r>
              <w:rPr>
                <w:rFonts w:ascii="仿宋_GB2312" w:hAnsi="仿宋_GB2312" w:cs="仿宋_GB2312" w:eastAsia="仿宋_GB2312"/>
                <w:sz w:val="24"/>
                <w:color w:val="000000"/>
              </w:rPr>
              <w:t>、承保公司应当成立专门的校方责任保险理赔服务机构，由有经验的专业理赔人员负责理赔服务工作，并配备相应的办公设备。</w:t>
            </w:r>
          </w:p>
          <w:p>
            <w:pPr>
              <w:pStyle w:val="null3"/>
            </w:pPr>
            <w:r>
              <w:rPr>
                <w:rFonts w:ascii="仿宋_GB2312" w:hAnsi="仿宋_GB2312" w:cs="仿宋_GB2312" w:eastAsia="仿宋_GB2312"/>
                <w:sz w:val="24"/>
                <w:color w:val="000000"/>
              </w:rPr>
              <w:t>2-2</w:t>
            </w:r>
            <w:r>
              <w:rPr>
                <w:rFonts w:ascii="仿宋_GB2312" w:hAnsi="仿宋_GB2312" w:cs="仿宋_GB2312" w:eastAsia="仿宋_GB2312"/>
                <w:sz w:val="24"/>
                <w:color w:val="000000"/>
              </w:rPr>
              <w:t>、设立热线电话，负责受理校方责任保险的事故报案、咨询、疑难解答和投诉处理，对于事故报案和客户投诉，承保公司应当在</w:t>
            </w:r>
            <w:r>
              <w:rPr>
                <w:rFonts w:ascii="仿宋_GB2312" w:hAnsi="仿宋_GB2312" w:cs="仿宋_GB2312" w:eastAsia="仿宋_GB2312"/>
                <w:sz w:val="24"/>
                <w:color w:val="000000"/>
              </w:rPr>
              <w:t>5</w:t>
            </w:r>
            <w:r>
              <w:rPr>
                <w:rFonts w:ascii="仿宋_GB2312" w:hAnsi="仿宋_GB2312" w:cs="仿宋_GB2312" w:eastAsia="仿宋_GB2312"/>
                <w:sz w:val="24"/>
                <w:color w:val="000000"/>
              </w:rPr>
              <w:t>个工作日内向西安市鄠邑区教育局就重要事项作出明确答复。</w:t>
            </w:r>
          </w:p>
          <w:p>
            <w:pPr>
              <w:pStyle w:val="null3"/>
            </w:pPr>
            <w:r>
              <w:rPr>
                <w:rFonts w:ascii="仿宋_GB2312" w:hAnsi="仿宋_GB2312" w:cs="仿宋_GB2312" w:eastAsia="仿宋_GB2312"/>
                <w:sz w:val="24"/>
                <w:color w:val="000000"/>
              </w:rPr>
              <w:t>2-3</w:t>
            </w:r>
            <w:r>
              <w:rPr>
                <w:rFonts w:ascii="仿宋_GB2312" w:hAnsi="仿宋_GB2312" w:cs="仿宋_GB2312" w:eastAsia="仿宋_GB2312"/>
                <w:sz w:val="24"/>
                <w:color w:val="000000"/>
              </w:rPr>
              <w:t>、对收到的索赔材料进行审核，并在</w:t>
            </w:r>
            <w:r>
              <w:rPr>
                <w:rFonts w:ascii="仿宋_GB2312" w:hAnsi="仿宋_GB2312" w:cs="仿宋_GB2312" w:eastAsia="仿宋_GB2312"/>
                <w:sz w:val="24"/>
                <w:color w:val="000000"/>
              </w:rPr>
              <w:t>3</w:t>
            </w:r>
            <w:r>
              <w:rPr>
                <w:rFonts w:ascii="仿宋_GB2312" w:hAnsi="仿宋_GB2312" w:cs="仿宋_GB2312" w:eastAsia="仿宋_GB2312"/>
                <w:sz w:val="24"/>
                <w:color w:val="000000"/>
              </w:rPr>
              <w:t>个工作日内向西安市鄠邑区教育局反馈是否立案以及是否需要补充提供证明材料，对决定拒赔或者不予立案的，出具正式的书面意见。对索赔材料齐全的校方责任保险案件，在立案后的</w:t>
            </w:r>
            <w:r>
              <w:rPr>
                <w:rFonts w:ascii="仿宋_GB2312" w:hAnsi="仿宋_GB2312" w:cs="仿宋_GB2312" w:eastAsia="仿宋_GB2312"/>
                <w:sz w:val="24"/>
                <w:color w:val="000000"/>
              </w:rPr>
              <w:t>5</w:t>
            </w:r>
            <w:r>
              <w:rPr>
                <w:rFonts w:ascii="仿宋_GB2312" w:hAnsi="仿宋_GB2312" w:cs="仿宋_GB2312" w:eastAsia="仿宋_GB2312"/>
                <w:sz w:val="24"/>
                <w:color w:val="000000"/>
              </w:rPr>
              <w:t>个工作日内开具赔款通知书；对重大疑难案件应在立案后不超过</w:t>
            </w:r>
            <w:r>
              <w:rPr>
                <w:rFonts w:ascii="仿宋_GB2312" w:hAnsi="仿宋_GB2312" w:cs="仿宋_GB2312" w:eastAsia="仿宋_GB2312"/>
                <w:sz w:val="24"/>
                <w:color w:val="000000"/>
              </w:rPr>
              <w:t>25</w:t>
            </w:r>
            <w:r>
              <w:rPr>
                <w:rFonts w:ascii="仿宋_GB2312" w:hAnsi="仿宋_GB2312" w:cs="仿宋_GB2312" w:eastAsia="仿宋_GB2312"/>
                <w:sz w:val="24"/>
                <w:color w:val="000000"/>
              </w:rPr>
              <w:t>个工作日内结案。</w:t>
            </w:r>
          </w:p>
          <w:p>
            <w:pPr>
              <w:pStyle w:val="null3"/>
            </w:pPr>
            <w:r>
              <w:rPr>
                <w:rFonts w:ascii="仿宋_GB2312" w:hAnsi="仿宋_GB2312" w:cs="仿宋_GB2312" w:eastAsia="仿宋_GB2312"/>
                <w:sz w:val="24"/>
                <w:color w:val="000000"/>
              </w:rPr>
              <w:t>2-4</w:t>
            </w:r>
            <w:r>
              <w:rPr>
                <w:rFonts w:ascii="仿宋_GB2312" w:hAnsi="仿宋_GB2312" w:cs="仿宋_GB2312" w:eastAsia="仿宋_GB2312"/>
                <w:sz w:val="24"/>
                <w:color w:val="000000"/>
              </w:rPr>
              <w:t>、承保公司与被保险学校达成赔偿或者给付协议，并且已经确定赔偿金额的，</w:t>
            </w:r>
            <w:r>
              <w:rPr>
                <w:rFonts w:ascii="仿宋_GB2312" w:hAnsi="仿宋_GB2312" w:cs="仿宋_GB2312" w:eastAsia="仿宋_GB2312"/>
                <w:sz w:val="24"/>
                <w:color w:val="000000"/>
              </w:rPr>
              <w:t>1000</w:t>
            </w:r>
            <w:r>
              <w:rPr>
                <w:rFonts w:ascii="仿宋_GB2312" w:hAnsi="仿宋_GB2312" w:cs="仿宋_GB2312" w:eastAsia="仿宋_GB2312"/>
                <w:sz w:val="24"/>
                <w:color w:val="000000"/>
              </w:rPr>
              <w:t>元以下的案件</w:t>
            </w:r>
            <w:r>
              <w:rPr>
                <w:rFonts w:ascii="仿宋_GB2312" w:hAnsi="仿宋_GB2312" w:cs="仿宋_GB2312" w:eastAsia="仿宋_GB2312"/>
                <w:sz w:val="24"/>
                <w:color w:val="000000"/>
              </w:rPr>
              <w:t>2</w:t>
            </w:r>
            <w:r>
              <w:rPr>
                <w:rFonts w:ascii="仿宋_GB2312" w:hAnsi="仿宋_GB2312" w:cs="仿宋_GB2312" w:eastAsia="仿宋_GB2312"/>
                <w:sz w:val="24"/>
                <w:color w:val="000000"/>
              </w:rPr>
              <w:t>个工作日内赔付结案；</w:t>
            </w:r>
            <w:r>
              <w:rPr>
                <w:rFonts w:ascii="仿宋_GB2312" w:hAnsi="仿宋_GB2312" w:cs="仿宋_GB2312" w:eastAsia="仿宋_GB2312"/>
                <w:sz w:val="24"/>
                <w:color w:val="000000"/>
              </w:rPr>
              <w:t>3000</w:t>
            </w:r>
            <w:r>
              <w:rPr>
                <w:rFonts w:ascii="仿宋_GB2312" w:hAnsi="仿宋_GB2312" w:cs="仿宋_GB2312" w:eastAsia="仿宋_GB2312"/>
                <w:sz w:val="24"/>
                <w:color w:val="000000"/>
              </w:rPr>
              <w:t>元以下的案件</w:t>
            </w:r>
            <w:r>
              <w:rPr>
                <w:rFonts w:ascii="仿宋_GB2312" w:hAnsi="仿宋_GB2312" w:cs="仿宋_GB2312" w:eastAsia="仿宋_GB2312"/>
                <w:sz w:val="24"/>
                <w:color w:val="000000"/>
              </w:rPr>
              <w:t>3</w:t>
            </w:r>
            <w:r>
              <w:rPr>
                <w:rFonts w:ascii="仿宋_GB2312" w:hAnsi="仿宋_GB2312" w:cs="仿宋_GB2312" w:eastAsia="仿宋_GB2312"/>
                <w:sz w:val="24"/>
                <w:color w:val="000000"/>
              </w:rPr>
              <w:t>个工作日内结案；</w:t>
            </w:r>
            <w:r>
              <w:rPr>
                <w:rFonts w:ascii="仿宋_GB2312" w:hAnsi="仿宋_GB2312" w:cs="仿宋_GB2312" w:eastAsia="仿宋_GB2312"/>
                <w:sz w:val="24"/>
                <w:color w:val="000000"/>
              </w:rPr>
              <w:t>5000</w:t>
            </w:r>
            <w:r>
              <w:rPr>
                <w:rFonts w:ascii="仿宋_GB2312" w:hAnsi="仿宋_GB2312" w:cs="仿宋_GB2312" w:eastAsia="仿宋_GB2312"/>
                <w:sz w:val="24"/>
                <w:color w:val="000000"/>
              </w:rPr>
              <w:t>元以下的案件</w:t>
            </w:r>
            <w:r>
              <w:rPr>
                <w:rFonts w:ascii="仿宋_GB2312" w:hAnsi="仿宋_GB2312" w:cs="仿宋_GB2312" w:eastAsia="仿宋_GB2312"/>
                <w:sz w:val="24"/>
                <w:color w:val="000000"/>
              </w:rPr>
              <w:t>5</w:t>
            </w:r>
            <w:r>
              <w:rPr>
                <w:rFonts w:ascii="仿宋_GB2312" w:hAnsi="仿宋_GB2312" w:cs="仿宋_GB2312" w:eastAsia="仿宋_GB2312"/>
                <w:sz w:val="24"/>
                <w:color w:val="000000"/>
              </w:rPr>
              <w:t>个工作日内结案。</w:t>
            </w:r>
          </w:p>
          <w:p>
            <w:pPr>
              <w:pStyle w:val="null3"/>
            </w:pPr>
            <w:r>
              <w:rPr>
                <w:rFonts w:ascii="仿宋_GB2312" w:hAnsi="仿宋_GB2312" w:cs="仿宋_GB2312" w:eastAsia="仿宋_GB2312"/>
                <w:sz w:val="24"/>
                <w:color w:val="000000"/>
              </w:rPr>
              <w:t>2-5</w:t>
            </w:r>
            <w:r>
              <w:rPr>
                <w:rFonts w:ascii="仿宋_GB2312" w:hAnsi="仿宋_GB2312" w:cs="仿宋_GB2312" w:eastAsia="仿宋_GB2312"/>
                <w:sz w:val="24"/>
                <w:color w:val="000000"/>
              </w:rPr>
              <w:t>、成立重大事故协调处理小组：为减少发生的重大人身伤亡事故对校方的影响，尽快恢复正常的教育教学秩序。承保公司应当协助各级教育行政部门临时组建“重大事故协调处理小组”</w:t>
            </w:r>
            <w:r>
              <w:rPr>
                <w:rFonts w:ascii="仿宋_GB2312" w:hAnsi="仿宋_GB2312" w:cs="仿宋_GB2312" w:eastAsia="仿宋_GB2312"/>
                <w:sz w:val="24"/>
                <w:color w:val="000000"/>
              </w:rPr>
              <w:t>,</w:t>
            </w:r>
            <w:r>
              <w:rPr>
                <w:rFonts w:ascii="仿宋_GB2312" w:hAnsi="仿宋_GB2312" w:cs="仿宋_GB2312" w:eastAsia="仿宋_GB2312"/>
                <w:sz w:val="24"/>
                <w:color w:val="000000"/>
              </w:rPr>
              <w:t>负责协调重大事故的赔偿解决方案。对于案情经过及校方责任基本明确，且已就赔偿金额初步达成一致意见的情况下，承保公司应当在</w:t>
            </w:r>
            <w:r>
              <w:rPr>
                <w:rFonts w:ascii="仿宋_GB2312" w:hAnsi="仿宋_GB2312" w:cs="仿宋_GB2312" w:eastAsia="仿宋_GB2312"/>
                <w:sz w:val="24"/>
                <w:color w:val="000000"/>
              </w:rPr>
              <w:t>5</w:t>
            </w:r>
            <w:r>
              <w:rPr>
                <w:rFonts w:ascii="仿宋_GB2312" w:hAnsi="仿宋_GB2312" w:cs="仿宋_GB2312" w:eastAsia="仿宋_GB2312"/>
                <w:sz w:val="24"/>
                <w:color w:val="000000"/>
              </w:rPr>
              <w:t>个工作日内预付该次事故赔偿金额的</w:t>
            </w:r>
            <w:r>
              <w:rPr>
                <w:rFonts w:ascii="仿宋_GB2312" w:hAnsi="仿宋_GB2312" w:cs="仿宋_GB2312" w:eastAsia="仿宋_GB2312"/>
                <w:sz w:val="24"/>
                <w:color w:val="000000"/>
              </w:rPr>
              <w:t>50%</w:t>
            </w:r>
            <w:r>
              <w:rPr>
                <w:rFonts w:ascii="仿宋_GB2312" w:hAnsi="仿宋_GB2312" w:cs="仿宋_GB2312" w:eastAsia="仿宋_GB2312"/>
                <w:sz w:val="24"/>
                <w:color w:val="000000"/>
              </w:rPr>
              <w:t>，用以协助平息纠纷。</w:t>
            </w:r>
          </w:p>
          <w:p>
            <w:pPr>
              <w:pStyle w:val="null3"/>
            </w:pPr>
            <w:r>
              <w:rPr>
                <w:rFonts w:ascii="仿宋_GB2312" w:hAnsi="仿宋_GB2312" w:cs="仿宋_GB2312" w:eastAsia="仿宋_GB2312"/>
                <w:sz w:val="24"/>
                <w:color w:val="000000"/>
              </w:rPr>
              <w:t>2-6</w:t>
            </w:r>
            <w:r>
              <w:rPr>
                <w:rFonts w:ascii="仿宋_GB2312" w:hAnsi="仿宋_GB2312" w:cs="仿宋_GB2312" w:eastAsia="仿宋_GB2312"/>
                <w:sz w:val="24"/>
                <w:color w:val="000000"/>
              </w:rPr>
              <w:t>、对于承保公司认定不属于保险责任的事故，如西安市鄠邑区教育局提出书面处理意见，承保公司应酌情予以赔付。</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）法律援助服务</w:t>
            </w:r>
          </w:p>
          <w:p>
            <w:pPr>
              <w:pStyle w:val="null3"/>
            </w:pPr>
            <w:r>
              <w:rPr>
                <w:rFonts w:ascii="仿宋_GB2312" w:hAnsi="仿宋_GB2312" w:cs="仿宋_GB2312" w:eastAsia="仿宋_GB2312"/>
                <w:sz w:val="24"/>
                <w:color w:val="000000"/>
              </w:rPr>
              <w:t>3-1</w:t>
            </w:r>
            <w:r>
              <w:rPr>
                <w:rFonts w:ascii="仿宋_GB2312" w:hAnsi="仿宋_GB2312" w:cs="仿宋_GB2312" w:eastAsia="仿宋_GB2312"/>
                <w:sz w:val="24"/>
                <w:color w:val="000000"/>
              </w:rPr>
              <w:t>、承保公司应当成立专门的法律服务小组，在发生学生人身伤害事故时，协助学校妥善处理善后事宜，对学校提供法律和保险方面的指导，尽最大可能减少学校的经济损失。</w:t>
            </w:r>
          </w:p>
          <w:p>
            <w:pPr>
              <w:pStyle w:val="null3"/>
            </w:pPr>
            <w:r>
              <w:rPr>
                <w:rFonts w:ascii="仿宋_GB2312" w:hAnsi="仿宋_GB2312" w:cs="仿宋_GB2312" w:eastAsia="仿宋_GB2312"/>
                <w:sz w:val="24"/>
                <w:color w:val="000000"/>
              </w:rPr>
              <w:t>3-2</w:t>
            </w:r>
            <w:r>
              <w:rPr>
                <w:rFonts w:ascii="仿宋_GB2312" w:hAnsi="仿宋_GB2312" w:cs="仿宋_GB2312" w:eastAsia="仿宋_GB2312"/>
                <w:sz w:val="24"/>
                <w:color w:val="000000"/>
              </w:rPr>
              <w:t>、学校与学生家长就学生人身伤害事故赔偿问题产生纠纷时，承保公司必须为学校提供法律援助，指派专人负责协调学校和家长的矛盾。</w:t>
            </w:r>
          </w:p>
          <w:p>
            <w:pPr>
              <w:pStyle w:val="null3"/>
            </w:pPr>
            <w:r>
              <w:rPr>
                <w:rFonts w:ascii="仿宋_GB2312" w:hAnsi="仿宋_GB2312" w:cs="仿宋_GB2312" w:eastAsia="仿宋_GB2312"/>
                <w:sz w:val="24"/>
                <w:color w:val="000000"/>
              </w:rPr>
              <w:t>3-3</w:t>
            </w:r>
            <w:r>
              <w:rPr>
                <w:rFonts w:ascii="仿宋_GB2312" w:hAnsi="仿宋_GB2312" w:cs="仿宋_GB2312" w:eastAsia="仿宋_GB2312"/>
                <w:sz w:val="24"/>
                <w:color w:val="000000"/>
              </w:rPr>
              <w:t>、学校与学生家长无法就赔偿问题达成一致意见而诉诸法律时，承保公司必须无偿为学校提供诉讼代理服务。</w:t>
            </w:r>
          </w:p>
          <w:p>
            <w:pPr>
              <w:pStyle w:val="null3"/>
            </w:pPr>
            <w:r>
              <w:rPr>
                <w:rFonts w:ascii="仿宋_GB2312" w:hAnsi="仿宋_GB2312" w:cs="仿宋_GB2312" w:eastAsia="仿宋_GB2312"/>
                <w:sz w:val="24"/>
                <w:color w:val="000000"/>
              </w:rPr>
              <w:t>3-4</w:t>
            </w:r>
            <w:r>
              <w:rPr>
                <w:rFonts w:ascii="仿宋_GB2312" w:hAnsi="仿宋_GB2312" w:cs="仿宋_GB2312" w:eastAsia="仿宋_GB2312"/>
                <w:sz w:val="24"/>
                <w:color w:val="000000"/>
              </w:rPr>
              <w:t>、学校与学生家长诉诸法律解决纠纷时，如教育部门已为学校安排代理律师或者学校经教育行政部门同意自行聘请律师，承保公司应充分认可诉讼结论。</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）增值服务</w:t>
            </w:r>
          </w:p>
          <w:p>
            <w:pPr>
              <w:pStyle w:val="null3"/>
            </w:pPr>
            <w:r>
              <w:rPr>
                <w:rFonts w:ascii="仿宋_GB2312" w:hAnsi="仿宋_GB2312" w:cs="仿宋_GB2312" w:eastAsia="仿宋_GB2312"/>
                <w:sz w:val="24"/>
                <w:color w:val="000000"/>
              </w:rPr>
              <w:t>4-1</w:t>
            </w:r>
            <w:r>
              <w:rPr>
                <w:rFonts w:ascii="仿宋_GB2312" w:hAnsi="仿宋_GB2312" w:cs="仿宋_GB2312" w:eastAsia="仿宋_GB2312"/>
                <w:sz w:val="24"/>
                <w:color w:val="000000"/>
              </w:rPr>
              <w:t>、协助西安市鄠邑区教育局对被保险学校进行安全教育和风险管理以及防灾防损培训。</w:t>
            </w:r>
          </w:p>
          <w:p>
            <w:pPr>
              <w:pStyle w:val="null3"/>
            </w:pPr>
            <w:r>
              <w:rPr>
                <w:rFonts w:ascii="仿宋_GB2312" w:hAnsi="仿宋_GB2312" w:cs="仿宋_GB2312" w:eastAsia="仿宋_GB2312"/>
                <w:sz w:val="24"/>
                <w:color w:val="000000"/>
              </w:rPr>
              <w:t>4-2</w:t>
            </w:r>
            <w:r>
              <w:rPr>
                <w:rFonts w:ascii="仿宋_GB2312" w:hAnsi="仿宋_GB2312" w:cs="仿宋_GB2312" w:eastAsia="仿宋_GB2312"/>
                <w:sz w:val="24"/>
                <w:color w:val="000000"/>
              </w:rPr>
              <w:t>、协助西安市鄠邑区教育局对被保险学校举办体育比赛、运动会、汇报演出等大型活动时的安全防范工作，提供必要的技术支持，并为活动安排保险方案。</w:t>
            </w:r>
          </w:p>
          <w:p>
            <w:pPr>
              <w:pStyle w:val="null3"/>
            </w:pPr>
            <w:r>
              <w:rPr>
                <w:rFonts w:ascii="仿宋_GB2312" w:hAnsi="仿宋_GB2312" w:cs="仿宋_GB2312" w:eastAsia="仿宋_GB2312"/>
                <w:sz w:val="24"/>
                <w:color w:val="000000"/>
              </w:rPr>
              <w:t>4-3</w:t>
            </w:r>
            <w:r>
              <w:rPr>
                <w:rFonts w:ascii="仿宋_GB2312" w:hAnsi="仿宋_GB2312" w:cs="仿宋_GB2312" w:eastAsia="仿宋_GB2312"/>
                <w:sz w:val="24"/>
                <w:color w:val="000000"/>
              </w:rPr>
              <w:t>、定期向西安市鄠邑区教育局报告工作情况和提供风险管理方案。</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）特色服务</w:t>
            </w:r>
          </w:p>
          <w:p>
            <w:pPr>
              <w:pStyle w:val="null3"/>
            </w:pPr>
            <w:r>
              <w:rPr>
                <w:rFonts w:ascii="仿宋_GB2312" w:hAnsi="仿宋_GB2312" w:cs="仿宋_GB2312" w:eastAsia="仿宋_GB2312"/>
                <w:sz w:val="24"/>
                <w:color w:val="000000"/>
              </w:rPr>
              <w:t>为了能够体现校方责任保险服务于西安市教育行业的特点，投标供应商应充分了解西安市教育行业的现状及风险状况，并在基础服务项目上增加其他服务内容。</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）赔偿范围与项目</w:t>
            </w:r>
          </w:p>
          <w:p>
            <w:pPr>
              <w:pStyle w:val="null3"/>
            </w:pPr>
            <w:r>
              <w:rPr>
                <w:rFonts w:ascii="仿宋_GB2312" w:hAnsi="仿宋_GB2312" w:cs="仿宋_GB2312" w:eastAsia="仿宋_GB2312"/>
                <w:sz w:val="24"/>
                <w:color w:val="000000"/>
              </w:rPr>
              <w:t>保险公司根据《学生伤害事故处理办法》、《最高人民法院关于审理人身损害赔偿案件适用法律若干问题的解释》、《侵权责任法》相关规定，凭借以前校方责任保险赔案的经验中确定赔偿项目与计算依据填写下列表格空白处。</w:t>
            </w:r>
          </w:p>
          <w:tbl>
            <w:tblPr>
              <w:tblInd w:type="dxa" w:w="120"/>
              <w:tblBorders>
                <w:top w:val="none" w:color="000000" w:sz="4"/>
                <w:left w:val="none" w:color="000000" w:sz="4"/>
                <w:bottom w:val="none" w:color="000000" w:sz="4"/>
                <w:right w:val="none" w:color="000000" w:sz="4"/>
                <w:insideH w:val="none"/>
                <w:insideV w:val="none"/>
              </w:tblBorders>
            </w:tblPr>
            <w:tblGrid>
              <w:gridCol w:w="365"/>
              <w:gridCol w:w="1368"/>
              <w:gridCol w:w="820"/>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赔偿范围</w:t>
                  </w:r>
                </w:p>
              </w:tc>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赔偿项目与计算依据</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医疗费</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住院伙食补助费</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营养费</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监护人误工费</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护理费</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交通费</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残疾用具费</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残疾等级鉴定费</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伤残赔偿金</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丧葬费</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死亡赔偿金</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法律费用</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施救费用</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保险公司认为补充响应的其他赔偿范围</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bl>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）基本保险责任范围</w:t>
            </w:r>
          </w:p>
          <w:p>
            <w:pPr>
              <w:pStyle w:val="null3"/>
              <w:ind w:firstLine="480"/>
            </w:pPr>
            <w:r>
              <w:rPr>
                <w:rFonts w:ascii="仿宋_GB2312" w:hAnsi="仿宋_GB2312" w:cs="仿宋_GB2312" w:eastAsia="仿宋_GB2312"/>
                <w:sz w:val="24"/>
                <w:color w:val="000000"/>
              </w:rPr>
              <w:t>在学校实施的教育教学活动或者学校组织的校外活动中，以及在学校负有管理责任的校舍、场地、其他教育教学设施、生活设施内发生的，造成在册学生人身损害的意外伤害事故依法应由学校承担的经济赔偿责任：</w:t>
            </w:r>
          </w:p>
          <w:tbl>
            <w:tblPr>
              <w:tblInd w:type="dxa" w:w="120"/>
              <w:tblBorders>
                <w:top w:val="none" w:color="000000" w:sz="4"/>
                <w:left w:val="none" w:color="000000" w:sz="4"/>
                <w:bottom w:val="none" w:color="000000" w:sz="4"/>
                <w:right w:val="none" w:color="000000" w:sz="4"/>
                <w:insideH w:val="none"/>
                <w:insideV w:val="none"/>
              </w:tblBorders>
            </w:tblPr>
            <w:tblGrid>
              <w:gridCol w:w="320"/>
              <w:gridCol w:w="2233"/>
            </w:tblGrid>
            <w:tr>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容</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学校的校舍、场地、其他公共设施，以及学校提供给学生使用的学具、教育教学和生活设施、设备不符合国家规定的标准，或者有明显不安全因素的</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学校的安全保卫、消防、设施设备管理等安全管理制度有明显疏漏，或者管理混乱，存在重大安全隐患，而未及时采取措施的</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学校向学生提供的药品、食品、饮用水等不符合国家或者行业的有关标准、要求的</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学校组织学生参加教育教学活动或者校外活动，未对学生进行相应的安全教育，并未在可预见的范围内采取必要的安全措施的</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学校知道教师或者其他工作人员患有不适宜担任教育教学工作的疾病，但未采取必要措施的</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学校组织安排的实习、劳动、体育运动等体力活动，超出学生一般生理承受能力的</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学生有特异体质或者特定疾病，不宜参加某种教育教学活动，学校知道或者应当知道，但未予以必要的注意的</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学生在校期间突发疾病或者受到伤害，学校发现，但未根据实际情况及时采取相应措施，导致不良后果加重的</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学校教师或者其他工作人员体罚或者变相体罚学生，或者在履行职责过程中违反工作要求、操作规程、职业道德或者其他有关规定的</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学校教师或者其他工作人员在负有组织、管理未成年学生的职责期间，发现学生行为具有危险性，但未进行必要的管理、告诫或者制止的</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对未成年学生擅自离校等与学生人身安全直接相关的信息，学校发现或者知道，但未及时告知未成年学生的监护人，导致未成年学生因脱离监护人的保护而发生伤害的</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学校知道或应当知道本校学生患有传染性疾病，而未采取必要的隔离防范措施导致其他学生感染的</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学校有未依法履行职责的其他情形的</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必要的诉讼费及其他合理的施救费用</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食品安全责任险：在保险期间或保险合同载明的追溯期内，被保险人在本保险合同列明的经营场所内生产、销售食品，或者现场提供与其营业性质相符的食品时，因疏忽或过失致使消费者食物中毒或其它食源性疾患，或因食物中掺有异物，造成消费者人身伤亡或财产损失，受害人或其代理人在保险期间内首次向被保险人提出损害赔偿请求，依照中华人民共和国法律（不包括港澳台地区法律）应由被保险人承担的经济赔偿责任，保险人按照本保险合同约定负责赔偿。</w:t>
                  </w:r>
                </w:p>
              </w:tc>
            </w:tr>
          </w:tbl>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）扩展条款责任范围</w:t>
            </w:r>
          </w:p>
          <w:p>
            <w:pPr>
              <w:pStyle w:val="null3"/>
            </w:pPr>
            <w:r>
              <w:rPr>
                <w:rFonts w:ascii="仿宋_GB2312" w:hAnsi="仿宋_GB2312" w:cs="仿宋_GB2312" w:eastAsia="仿宋_GB2312"/>
                <w:sz w:val="24"/>
                <w:color w:val="000000"/>
              </w:rPr>
              <w:t>保险公司应根据教育行业风险事故发生的特点，在基本条款责任的基础上提供扩展条款责任的承保内容填写在下列表格空白处。</w:t>
            </w:r>
          </w:p>
          <w:tbl>
            <w:tblPr>
              <w:tblBorders>
                <w:top w:val="none" w:color="000000" w:sz="4"/>
                <w:left w:val="none" w:color="000000" w:sz="4"/>
                <w:bottom w:val="none" w:color="000000" w:sz="4"/>
                <w:right w:val="none" w:color="000000" w:sz="4"/>
                <w:insideH w:val="none"/>
                <w:insideV w:val="none"/>
              </w:tblBorders>
            </w:tblPr>
            <w:tblGrid>
              <w:gridCol w:w="887"/>
              <w:gridCol w:w="1665"/>
            </w:tblGrid>
            <w:tr>
              <w:tc>
                <w:tcPr>
                  <w:tcW w:type="dxa" w:w="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序号</w:t>
                  </w:r>
                </w:p>
              </w:tc>
              <w:tc>
                <w:tcPr>
                  <w:tcW w:type="dxa" w:w="1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扩展条款内容</w:t>
                  </w: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（一）</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（五）</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（六）</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（七）</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（八）</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（九）</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r>
          </w:tbl>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）附加校方无过失责任保险条款</w:t>
            </w:r>
          </w:p>
          <w:p>
            <w:pPr>
              <w:pStyle w:val="null3"/>
              <w:ind w:firstLine="480"/>
            </w:pPr>
            <w:r>
              <w:rPr>
                <w:rFonts w:ascii="仿宋_GB2312" w:hAnsi="仿宋_GB2312" w:cs="仿宋_GB2312" w:eastAsia="仿宋_GB2312"/>
                <w:sz w:val="24"/>
                <w:color w:val="000000"/>
              </w:rPr>
              <w:t>总则</w:t>
            </w:r>
          </w:p>
          <w:p>
            <w:pPr>
              <w:pStyle w:val="null3"/>
              <w:ind w:firstLine="480"/>
            </w:pPr>
            <w:r>
              <w:rPr>
                <w:rFonts w:ascii="仿宋_GB2312" w:hAnsi="仿宋_GB2312" w:cs="仿宋_GB2312" w:eastAsia="仿宋_GB2312"/>
                <w:sz w:val="24"/>
                <w:color w:val="000000"/>
              </w:rPr>
              <w:t>第一条</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本保险是普通教育校方责任保险、高等教育校方责任险和校方责任保险（以下均简称主险）的附加险。只有在投保主险后才可投保本附加险。若主险条款与本附加险条款互有冲突，以本附加险条款为准。本附加险条款未尽事宜，以主险条款为准。</w:t>
            </w:r>
          </w:p>
          <w:p>
            <w:pPr>
              <w:pStyle w:val="null3"/>
              <w:ind w:firstLine="480"/>
            </w:pPr>
            <w:r>
              <w:rPr>
                <w:rFonts w:ascii="仿宋_GB2312" w:hAnsi="仿宋_GB2312" w:cs="仿宋_GB2312" w:eastAsia="仿宋_GB2312"/>
                <w:sz w:val="24"/>
                <w:color w:val="000000"/>
              </w:rPr>
              <w:t>保险责任</w:t>
            </w:r>
          </w:p>
          <w:p>
            <w:pPr>
              <w:pStyle w:val="null3"/>
              <w:ind w:firstLine="480"/>
            </w:pPr>
            <w:r>
              <w:rPr>
                <w:rFonts w:ascii="仿宋_GB2312" w:hAnsi="仿宋_GB2312" w:cs="仿宋_GB2312" w:eastAsia="仿宋_GB2312"/>
                <w:sz w:val="24"/>
                <w:color w:val="000000"/>
              </w:rPr>
              <w:t>第二条</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在本保险单列明的保险期间及承保区域范围内，因自然灾害、学生自身原因、学生体质差异、校外的突发性侵害而导致被保险人的在校学生发生人身伤亡，被保险人已履行相应职责，行为并无不当，但是依法仍需对伤亡学生承担经济赔偿责任时，保险人根据本附加保险合同的约定负责赔偿。</w:t>
            </w:r>
          </w:p>
          <w:p>
            <w:pPr>
              <w:pStyle w:val="null3"/>
              <w:ind w:firstLine="480"/>
            </w:pPr>
            <w:r>
              <w:rPr>
                <w:rFonts w:ascii="仿宋_GB2312" w:hAnsi="仿宋_GB2312" w:cs="仿宋_GB2312" w:eastAsia="仿宋_GB2312"/>
                <w:sz w:val="24"/>
                <w:color w:val="000000"/>
              </w:rPr>
              <w:t>责任限额</w:t>
            </w:r>
          </w:p>
          <w:p>
            <w:pPr>
              <w:pStyle w:val="null3"/>
              <w:ind w:firstLine="480"/>
            </w:pPr>
            <w:r>
              <w:rPr>
                <w:rFonts w:ascii="仿宋_GB2312" w:hAnsi="仿宋_GB2312" w:cs="仿宋_GB2312" w:eastAsia="仿宋_GB2312"/>
                <w:sz w:val="24"/>
                <w:color w:val="000000"/>
              </w:rPr>
              <w:t>第三条</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本附加险责任限额分每人责任限额（含每人每次事故医疗费责任限额）、每次事故责任限额和累计责任限额，由投保人与保险人协商确定，并在保险单中载明。</w:t>
            </w:r>
          </w:p>
          <w:p>
            <w:pPr>
              <w:pStyle w:val="null3"/>
              <w:ind w:firstLine="480"/>
            </w:pPr>
            <w:r>
              <w:rPr>
                <w:rFonts w:ascii="仿宋_GB2312" w:hAnsi="仿宋_GB2312" w:cs="仿宋_GB2312" w:eastAsia="仿宋_GB2312"/>
                <w:sz w:val="24"/>
                <w:color w:val="000000"/>
              </w:rPr>
              <w:t>释义</w:t>
            </w:r>
          </w:p>
          <w:p>
            <w:pPr>
              <w:pStyle w:val="null3"/>
              <w:ind w:firstLine="480"/>
            </w:pPr>
            <w:r>
              <w:rPr>
                <w:rFonts w:ascii="仿宋_GB2312" w:hAnsi="仿宋_GB2312" w:cs="仿宋_GB2312" w:eastAsia="仿宋_GB2312"/>
                <w:sz w:val="24"/>
                <w:color w:val="000000"/>
              </w:rPr>
              <w:t>第四条</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本附加险有关术语释义如下：</w:t>
            </w:r>
          </w:p>
          <w:p>
            <w:pPr>
              <w:pStyle w:val="null3"/>
              <w:ind w:firstLine="480"/>
            </w:pPr>
            <w:r>
              <w:rPr>
                <w:rFonts w:ascii="仿宋_GB2312" w:hAnsi="仿宋_GB2312" w:cs="仿宋_GB2312" w:eastAsia="仿宋_GB2312"/>
                <w:sz w:val="24"/>
                <w:color w:val="000000"/>
              </w:rPr>
              <w:t>【保险期间】主险保险单列明的保险起始日至保险终止日的时间区间。</w:t>
            </w:r>
          </w:p>
          <w:p>
            <w:pPr>
              <w:pStyle w:val="null3"/>
              <w:ind w:firstLine="480"/>
            </w:pPr>
            <w:r>
              <w:rPr>
                <w:rFonts w:ascii="仿宋_GB2312" w:hAnsi="仿宋_GB2312" w:cs="仿宋_GB2312" w:eastAsia="仿宋_GB2312"/>
                <w:sz w:val="24"/>
                <w:color w:val="000000"/>
              </w:rPr>
              <w:t>【承保区域范围】主险保险单列明的被保险人在其校（园）内或由其统一组织并带领下的校（园）外活动的区域范围（限中国境内，港澳台地区除外）。</w:t>
            </w:r>
          </w:p>
          <w:p>
            <w:pPr>
              <w:pStyle w:val="null3"/>
              <w:ind w:firstLine="480"/>
            </w:pPr>
            <w:r>
              <w:rPr>
                <w:rFonts w:ascii="仿宋_GB2312" w:hAnsi="仿宋_GB2312" w:cs="仿宋_GB2312" w:eastAsia="仿宋_GB2312"/>
                <w:sz w:val="24"/>
                <w:color w:val="000000"/>
              </w:rPr>
              <w:t>【自然灾害】指气象部门发布的暴风、暴雨、崖崩、雷击、洪水、龙卷风、飑线、台风（热带风暴）、海啸、泥石流、突发性滑坡、冰雹灾害。</w:t>
            </w:r>
          </w:p>
          <w:p>
            <w:pPr>
              <w:pStyle w:val="null3"/>
              <w:ind w:firstLine="480"/>
            </w:pPr>
            <w:r>
              <w:rPr>
                <w:rFonts w:ascii="仿宋_GB2312" w:hAnsi="仿宋_GB2312" w:cs="仿宋_GB2312" w:eastAsia="仿宋_GB2312"/>
                <w:sz w:val="24"/>
                <w:color w:val="000000"/>
              </w:rPr>
              <w:t>其中，暴风：根据气象部门制定的风力级表规定，暴风是指风速在</w:t>
            </w:r>
            <w:r>
              <w:rPr>
                <w:rFonts w:ascii="仿宋_GB2312" w:hAnsi="仿宋_GB2312" w:cs="仿宋_GB2312" w:eastAsia="仿宋_GB2312"/>
                <w:sz w:val="24"/>
                <w:color w:val="000000"/>
              </w:rPr>
              <w:t>28.3</w:t>
            </w:r>
            <w:r>
              <w:rPr>
                <w:rFonts w:ascii="仿宋_GB2312" w:hAnsi="仿宋_GB2312" w:cs="仿宋_GB2312" w:eastAsia="仿宋_GB2312"/>
                <w:sz w:val="24"/>
                <w:color w:val="000000"/>
              </w:rPr>
              <w:t>米</w:t>
            </w:r>
            <w:r>
              <w:rPr>
                <w:rFonts w:ascii="仿宋_GB2312" w:hAnsi="仿宋_GB2312" w:cs="仿宋_GB2312" w:eastAsia="仿宋_GB2312"/>
                <w:sz w:val="24"/>
                <w:color w:val="000000"/>
              </w:rPr>
              <w:t>/</w:t>
            </w:r>
            <w:r>
              <w:rPr>
                <w:rFonts w:ascii="仿宋_GB2312" w:hAnsi="仿宋_GB2312" w:cs="仿宋_GB2312" w:eastAsia="仿宋_GB2312"/>
                <w:sz w:val="24"/>
                <w:color w:val="000000"/>
              </w:rPr>
              <w:t>秒以上，即相当于风力等级表中的</w:t>
            </w:r>
            <w:r>
              <w:rPr>
                <w:rFonts w:ascii="仿宋_GB2312" w:hAnsi="仿宋_GB2312" w:cs="仿宋_GB2312" w:eastAsia="仿宋_GB2312"/>
                <w:sz w:val="24"/>
                <w:color w:val="000000"/>
              </w:rPr>
              <w:t>11</w:t>
            </w:r>
            <w:r>
              <w:rPr>
                <w:rFonts w:ascii="仿宋_GB2312" w:hAnsi="仿宋_GB2312" w:cs="仿宋_GB2312" w:eastAsia="仿宋_GB2312"/>
                <w:sz w:val="24"/>
                <w:color w:val="000000"/>
              </w:rPr>
              <w:t>级以上的风力。</w:t>
            </w:r>
          </w:p>
          <w:p>
            <w:pPr>
              <w:pStyle w:val="null3"/>
              <w:ind w:firstLine="480"/>
            </w:pPr>
            <w:r>
              <w:rPr>
                <w:rFonts w:ascii="仿宋_GB2312" w:hAnsi="仿宋_GB2312" w:cs="仿宋_GB2312" w:eastAsia="仿宋_GB2312"/>
                <w:sz w:val="24"/>
                <w:color w:val="000000"/>
              </w:rPr>
              <w:t>暴雨：是指每小时降雨量达到</w:t>
            </w:r>
            <w:r>
              <w:rPr>
                <w:rFonts w:ascii="仿宋_GB2312" w:hAnsi="仿宋_GB2312" w:cs="仿宋_GB2312" w:eastAsia="仿宋_GB2312"/>
                <w:sz w:val="24"/>
                <w:color w:val="000000"/>
              </w:rPr>
              <w:t>16</w:t>
            </w:r>
            <w:r>
              <w:rPr>
                <w:rFonts w:ascii="仿宋_GB2312" w:hAnsi="仿宋_GB2312" w:cs="仿宋_GB2312" w:eastAsia="仿宋_GB2312"/>
                <w:sz w:val="24"/>
                <w:color w:val="000000"/>
              </w:rPr>
              <w:t>毫米以上，或连续</w:t>
            </w:r>
            <w:r>
              <w:rPr>
                <w:rFonts w:ascii="仿宋_GB2312" w:hAnsi="仿宋_GB2312" w:cs="仿宋_GB2312" w:eastAsia="仿宋_GB2312"/>
                <w:sz w:val="24"/>
                <w:color w:val="000000"/>
              </w:rPr>
              <w:t>12</w:t>
            </w:r>
            <w:r>
              <w:rPr>
                <w:rFonts w:ascii="仿宋_GB2312" w:hAnsi="仿宋_GB2312" w:cs="仿宋_GB2312" w:eastAsia="仿宋_GB2312"/>
                <w:sz w:val="24"/>
                <w:color w:val="000000"/>
              </w:rPr>
              <w:t>小时降雨量达到</w:t>
            </w:r>
            <w:r>
              <w:rPr>
                <w:rFonts w:ascii="仿宋_GB2312" w:hAnsi="仿宋_GB2312" w:cs="仿宋_GB2312" w:eastAsia="仿宋_GB2312"/>
                <w:sz w:val="24"/>
                <w:color w:val="000000"/>
              </w:rPr>
              <w:t>30</w:t>
            </w:r>
            <w:r>
              <w:rPr>
                <w:rFonts w:ascii="仿宋_GB2312" w:hAnsi="仿宋_GB2312" w:cs="仿宋_GB2312" w:eastAsia="仿宋_GB2312"/>
                <w:sz w:val="24"/>
                <w:color w:val="000000"/>
              </w:rPr>
              <w:t>毫米以上，或连续</w:t>
            </w:r>
            <w:r>
              <w:rPr>
                <w:rFonts w:ascii="仿宋_GB2312" w:hAnsi="仿宋_GB2312" w:cs="仿宋_GB2312" w:eastAsia="仿宋_GB2312"/>
                <w:sz w:val="24"/>
                <w:color w:val="000000"/>
              </w:rPr>
              <w:t>24</w:t>
            </w:r>
            <w:r>
              <w:rPr>
                <w:rFonts w:ascii="仿宋_GB2312" w:hAnsi="仿宋_GB2312" w:cs="仿宋_GB2312" w:eastAsia="仿宋_GB2312"/>
                <w:sz w:val="24"/>
                <w:color w:val="000000"/>
              </w:rPr>
              <w:t>小时降雨量达到</w:t>
            </w:r>
            <w:r>
              <w:rPr>
                <w:rFonts w:ascii="仿宋_GB2312" w:hAnsi="仿宋_GB2312" w:cs="仿宋_GB2312" w:eastAsia="仿宋_GB2312"/>
                <w:sz w:val="24"/>
                <w:color w:val="000000"/>
              </w:rPr>
              <w:t>50</w:t>
            </w:r>
            <w:r>
              <w:rPr>
                <w:rFonts w:ascii="仿宋_GB2312" w:hAnsi="仿宋_GB2312" w:cs="仿宋_GB2312" w:eastAsia="仿宋_GB2312"/>
                <w:sz w:val="24"/>
                <w:color w:val="000000"/>
              </w:rPr>
              <w:t>毫米以上。</w:t>
            </w:r>
          </w:p>
          <w:p>
            <w:pPr>
              <w:pStyle w:val="null3"/>
              <w:ind w:firstLine="480"/>
            </w:pPr>
            <w:r>
              <w:rPr>
                <w:rFonts w:ascii="仿宋_GB2312" w:hAnsi="仿宋_GB2312" w:cs="仿宋_GB2312" w:eastAsia="仿宋_GB2312"/>
                <w:sz w:val="24"/>
                <w:color w:val="000000"/>
              </w:rPr>
              <w:t>【学生自身原因】学生由于疏忽大意或过失行为造成自身的人身伤亡后果。</w:t>
            </w:r>
          </w:p>
          <w:p>
            <w:pPr>
              <w:pStyle w:val="null3"/>
              <w:ind w:firstLine="480"/>
            </w:pPr>
            <w:r>
              <w:rPr>
                <w:rFonts w:ascii="仿宋_GB2312" w:hAnsi="仿宋_GB2312" w:cs="仿宋_GB2312" w:eastAsia="仿宋_GB2312"/>
                <w:sz w:val="24"/>
                <w:color w:val="000000"/>
              </w:rPr>
              <w:t>【学生体质差异】学生由先天遗传和后天获得所形成的，在形态结构、功能活动方面所固有的、相对稳定的个体特征上的不同。</w:t>
            </w:r>
          </w:p>
          <w:p>
            <w:pPr>
              <w:pStyle w:val="null3"/>
              <w:ind w:firstLine="480"/>
            </w:pPr>
            <w:r>
              <w:rPr>
                <w:rFonts w:ascii="仿宋_GB2312" w:hAnsi="仿宋_GB2312" w:cs="仿宋_GB2312" w:eastAsia="仿宋_GB2312"/>
                <w:sz w:val="24"/>
                <w:color w:val="000000"/>
              </w:rPr>
              <w:t>【校外的突发性侵害】来自校外的车辆、外来人员或其他侵害主体在本保险单列明的承保区域范围内实施的突发性、不可预见的伤害事件。</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）明确具体的承保服务与理赔服务流程</w:t>
            </w:r>
          </w:p>
          <w:p>
            <w:pPr>
              <w:pStyle w:val="null3"/>
              <w:ind w:firstLine="480"/>
            </w:pPr>
            <w:r>
              <w:rPr>
                <w:rFonts w:ascii="仿宋_GB2312" w:hAnsi="仿宋_GB2312" w:cs="仿宋_GB2312" w:eastAsia="仿宋_GB2312"/>
                <w:sz w:val="24"/>
                <w:color w:val="000000"/>
              </w:rPr>
              <w:t>投标保险公司根据校（园）方责任险、无过失责任险的特点和自身实际情况自拟</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11</w:t>
            </w:r>
            <w:r>
              <w:rPr>
                <w:rFonts w:ascii="仿宋_GB2312" w:hAnsi="仿宋_GB2312" w:cs="仿宋_GB2312" w:eastAsia="仿宋_GB2312"/>
                <w:sz w:val="24"/>
                <w:color w:val="000000"/>
              </w:rPr>
              <w:t>）服务、产品（如有）执行的标准、规范：</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）国家标准、规范</w:t>
            </w:r>
            <w:r>
              <w:rPr>
                <w:rFonts w:ascii="仿宋_GB2312" w:hAnsi="仿宋_GB2312" w:cs="仿宋_GB2312" w:eastAsia="仿宋_GB2312"/>
                <w:sz w:val="24"/>
                <w:color w:val="000000"/>
                <w:u w:val="single"/>
              </w:rPr>
              <w:t xml:space="preserve">    </w:t>
            </w:r>
            <w:r>
              <w:rPr>
                <w:rFonts w:ascii="仿宋_GB2312" w:hAnsi="仿宋_GB2312" w:cs="仿宋_GB2312" w:eastAsia="仿宋_GB2312"/>
                <w:sz w:val="24"/>
                <w:color w:val="000000"/>
                <w:u w:val="single"/>
              </w:rPr>
              <w:t xml:space="preserve">/     </w:t>
            </w:r>
            <w:r>
              <w:rPr>
                <w:rFonts w:ascii="仿宋_GB2312" w:hAnsi="仿宋_GB2312" w:cs="仿宋_GB2312" w:eastAsia="仿宋_GB2312"/>
                <w:sz w:val="24"/>
                <w:color w:val="000000"/>
              </w:rPr>
              <w:t>；</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）行业标准、规范</w:t>
            </w:r>
            <w:r>
              <w:rPr>
                <w:rFonts w:ascii="仿宋_GB2312" w:hAnsi="仿宋_GB2312" w:cs="仿宋_GB2312" w:eastAsia="仿宋_GB2312"/>
                <w:sz w:val="24"/>
                <w:color w:val="000000"/>
                <w:u w:val="single"/>
              </w:rPr>
              <w:t xml:space="preserve">   </w:t>
            </w:r>
            <w:r>
              <w:rPr>
                <w:rFonts w:ascii="仿宋_GB2312" w:hAnsi="仿宋_GB2312" w:cs="仿宋_GB2312" w:eastAsia="仿宋_GB2312"/>
                <w:sz w:val="24"/>
                <w:color w:val="000000"/>
                <w:u w:val="single"/>
              </w:rPr>
              <w:t xml:space="preserve">/     </w:t>
            </w:r>
            <w:r>
              <w:rPr>
                <w:rFonts w:ascii="仿宋_GB2312" w:hAnsi="仿宋_GB2312" w:cs="仿宋_GB2312" w:eastAsia="仿宋_GB2312"/>
                <w:sz w:val="24"/>
                <w:color w:val="000000"/>
              </w:rPr>
              <w:t>；</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）地方标准、规范</w:t>
            </w:r>
            <w:r>
              <w:rPr>
                <w:rFonts w:ascii="仿宋_GB2312" w:hAnsi="仿宋_GB2312" w:cs="仿宋_GB2312" w:eastAsia="仿宋_GB2312"/>
                <w:sz w:val="24"/>
                <w:color w:val="000000"/>
                <w:u w:val="single"/>
              </w:rPr>
              <w:t xml:space="preserve">    </w:t>
            </w:r>
            <w:r>
              <w:rPr>
                <w:rFonts w:ascii="仿宋_GB2312" w:hAnsi="仿宋_GB2312" w:cs="仿宋_GB2312" w:eastAsia="仿宋_GB2312"/>
                <w:sz w:val="24"/>
                <w:color w:val="000000"/>
                <w:u w:val="single"/>
              </w:rPr>
              <w:t xml:space="preserve">/     </w:t>
            </w:r>
            <w:r>
              <w:rPr>
                <w:rFonts w:ascii="仿宋_GB2312" w:hAnsi="仿宋_GB2312" w:cs="仿宋_GB2312" w:eastAsia="仿宋_GB2312"/>
                <w:sz w:val="24"/>
                <w:color w:val="000000"/>
              </w:rPr>
              <w:t>；</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）企业标准、规范</w:t>
            </w:r>
            <w:r>
              <w:rPr>
                <w:rFonts w:ascii="仿宋_GB2312" w:hAnsi="仿宋_GB2312" w:cs="仿宋_GB2312" w:eastAsia="仿宋_GB2312"/>
                <w:sz w:val="24"/>
                <w:color w:val="000000"/>
                <w:u w:val="single"/>
              </w:rPr>
              <w:t xml:space="preserve">   </w:t>
            </w:r>
            <w:r>
              <w:rPr>
                <w:rFonts w:ascii="仿宋_GB2312" w:hAnsi="仿宋_GB2312" w:cs="仿宋_GB2312" w:eastAsia="仿宋_GB2312"/>
                <w:sz w:val="24"/>
                <w:color w:val="000000"/>
                <w:u w:val="single"/>
              </w:rPr>
              <w:t xml:space="preserve">/        </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12</w:t>
            </w:r>
            <w:r>
              <w:rPr>
                <w:rFonts w:ascii="仿宋_GB2312" w:hAnsi="仿宋_GB2312" w:cs="仿宋_GB2312" w:eastAsia="仿宋_GB2312"/>
                <w:sz w:val="24"/>
                <w:color w:val="000000"/>
              </w:rPr>
              <w:t>）本章</w:t>
            </w:r>
            <w:r>
              <w:rPr>
                <w:rFonts w:ascii="仿宋_GB2312" w:hAnsi="仿宋_GB2312" w:cs="仿宋_GB2312" w:eastAsia="仿宋_GB2312"/>
                <w:sz w:val="24"/>
                <w:color w:val="000000"/>
              </w:rPr>
              <w:t>11</w:t>
            </w:r>
            <w:r>
              <w:rPr>
                <w:rFonts w:ascii="仿宋_GB2312" w:hAnsi="仿宋_GB2312" w:cs="仿宋_GB2312" w:eastAsia="仿宋_GB2312"/>
                <w:sz w:val="24"/>
                <w:color w:val="000000"/>
              </w:rPr>
              <w:t>条未明确服务（产品）执行标准、规范的，按下列方法进行选择：</w:t>
            </w:r>
          </w:p>
          <w:p>
            <w:pPr>
              <w:pStyle w:val="null3"/>
              <w:ind w:firstLine="480"/>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顺序执行：国家标准→行业标准→地方标准→企业标准（有国家标准按国家标准执行，没有国家标准按行业标准，以此类推）；</w:t>
            </w:r>
          </w:p>
          <w:p>
            <w:pPr>
              <w:pStyle w:val="null3"/>
              <w:ind w:firstLine="480"/>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最高标准执行：国家标准，行业标准，地方标准，企业标准（那个标准高执行那个标准）</w:t>
            </w:r>
          </w:p>
          <w:p>
            <w:pPr>
              <w:pStyle w:val="null3"/>
              <w:ind w:firstLine="480"/>
            </w:pPr>
            <w:r>
              <w:rPr>
                <w:rFonts w:ascii="仿宋_GB2312" w:hAnsi="仿宋_GB2312" w:cs="仿宋_GB2312" w:eastAsia="仿宋_GB2312"/>
                <w:sz w:val="18"/>
                <w:color w:val="000000"/>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必须执行：国家（行业）强制性标准。</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13</w:t>
            </w:r>
            <w:r>
              <w:rPr>
                <w:rFonts w:ascii="仿宋_GB2312" w:hAnsi="仿宋_GB2312" w:cs="仿宋_GB2312" w:eastAsia="仿宋_GB2312"/>
                <w:sz w:val="24"/>
                <w:color w:val="000000"/>
              </w:rPr>
              <w:t>）商务要求：</w:t>
            </w:r>
          </w:p>
          <w:p>
            <w:pPr>
              <w:pStyle w:val="null3"/>
              <w:ind w:firstLine="480"/>
            </w:pPr>
            <w:r>
              <w:rPr>
                <w:rFonts w:ascii="仿宋_GB2312" w:hAnsi="仿宋_GB2312" w:cs="仿宋_GB2312" w:eastAsia="仿宋_GB2312"/>
                <w:sz w:val="24"/>
                <w:color w:val="000000"/>
              </w:rPr>
              <w:t>13-1</w:t>
            </w:r>
            <w:r>
              <w:rPr>
                <w:rFonts w:ascii="仿宋_GB2312" w:hAnsi="仿宋_GB2312" w:cs="仿宋_GB2312" w:eastAsia="仿宋_GB2312"/>
                <w:sz w:val="24"/>
                <w:color w:val="000000"/>
              </w:rPr>
              <w:t>、服务期限和地点：见供应商须知附表。</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14</w:t>
            </w:r>
            <w:r>
              <w:rPr>
                <w:rFonts w:ascii="仿宋_GB2312" w:hAnsi="仿宋_GB2312" w:cs="仿宋_GB2312" w:eastAsia="仿宋_GB2312"/>
                <w:sz w:val="24"/>
                <w:color w:val="000000"/>
              </w:rPr>
              <w:t>）其他要求：</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b/>
                <w:color w:val="000000"/>
              </w:rPr>
              <w:t>三、验收</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4"/>
                <w:color w:val="000000"/>
              </w:rPr>
              <w:t>、保单开出后验收一下内容：</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）是否协助招标人做好投保学校的各项承保工作并协助被保险学校的宣传和培训工作。</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）收到被保险学校投保材料后是否在</w:t>
            </w:r>
            <w:r>
              <w:rPr>
                <w:rFonts w:ascii="仿宋_GB2312" w:hAnsi="仿宋_GB2312" w:cs="仿宋_GB2312" w:eastAsia="仿宋_GB2312"/>
                <w:sz w:val="24"/>
                <w:color w:val="000000"/>
              </w:rPr>
              <w:t>5</w:t>
            </w:r>
            <w:r>
              <w:rPr>
                <w:rFonts w:ascii="仿宋_GB2312" w:hAnsi="仿宋_GB2312" w:cs="仿宋_GB2312" w:eastAsia="仿宋_GB2312"/>
                <w:sz w:val="24"/>
                <w:color w:val="000000"/>
              </w:rPr>
              <w:t>个工作日内出具了正式保险单和发票。</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）如果有被保险学校有人员变动、名称或地址变更、合并、注销、分立、设立分校等事宜时，承保公司是否做好了保全服务工作，并在接到学校批改申请材料</w:t>
            </w:r>
            <w:r>
              <w:rPr>
                <w:rFonts w:ascii="仿宋_GB2312" w:hAnsi="仿宋_GB2312" w:cs="仿宋_GB2312" w:eastAsia="仿宋_GB2312"/>
                <w:sz w:val="24"/>
                <w:color w:val="000000"/>
              </w:rPr>
              <w:t>5</w:t>
            </w:r>
            <w:r>
              <w:rPr>
                <w:rFonts w:ascii="仿宋_GB2312" w:hAnsi="仿宋_GB2312" w:cs="仿宋_GB2312" w:eastAsia="仿宋_GB2312"/>
                <w:sz w:val="24"/>
                <w:color w:val="000000"/>
              </w:rPr>
              <w:t>个工作日内出具批单和发票。</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）全区被保险学校人数增加不超过</w:t>
            </w:r>
            <w:r>
              <w:rPr>
                <w:rFonts w:ascii="仿宋_GB2312" w:hAnsi="仿宋_GB2312" w:cs="仿宋_GB2312" w:eastAsia="仿宋_GB2312"/>
                <w:sz w:val="24"/>
                <w:color w:val="000000"/>
              </w:rPr>
              <w:t>5%</w:t>
            </w:r>
            <w:r>
              <w:rPr>
                <w:rFonts w:ascii="仿宋_GB2312" w:hAnsi="仿宋_GB2312" w:cs="仿宋_GB2312" w:eastAsia="仿宋_GB2312"/>
                <w:sz w:val="24"/>
                <w:color w:val="000000"/>
              </w:rPr>
              <w:t>的，是否有另外收取保费。</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、有事故发生时是否按照理赔内容进行了理赔工作。</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、验收依据：</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）合同及合同附件。</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）国家相应的标准、规范。</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）磋商文件、响应文件、澄清表（函）。</w:t>
            </w:r>
          </w:p>
          <w:p>
            <w:pPr>
              <w:pStyle w:val="null3"/>
            </w:pPr>
            <w:r>
              <w:rPr>
                <w:rFonts w:ascii="仿宋_GB2312" w:hAnsi="仿宋_GB2312" w:cs="仿宋_GB2312" w:eastAsia="仿宋_GB2312"/>
                <w:sz w:val="24"/>
                <w:b/>
                <w:color w:val="000000"/>
              </w:rPr>
              <w:t>四、通融赔付机制</w:t>
            </w:r>
          </w:p>
          <w:p>
            <w:pPr>
              <w:pStyle w:val="null3"/>
              <w:ind w:firstLine="480"/>
            </w:pPr>
            <w:r>
              <w:rPr>
                <w:rFonts w:ascii="仿宋_GB2312" w:hAnsi="仿宋_GB2312" w:cs="仿宋_GB2312" w:eastAsia="仿宋_GB2312"/>
                <w:sz w:val="24"/>
                <w:color w:val="000000"/>
              </w:rPr>
              <w:t>对于我司已经认定不属于保险责任的事故，如西安市鄠邑区教育局提出书面处理意见，我司将由校方责任保险重大事故应急协调小组，积极配合西安市鄠邑区教育局工作，酌情在</w:t>
            </w:r>
            <w:r>
              <w:rPr>
                <w:rFonts w:ascii="仿宋_GB2312" w:hAnsi="仿宋_GB2312" w:cs="仿宋_GB2312" w:eastAsia="仿宋_GB2312"/>
                <w:sz w:val="24"/>
                <w:color w:val="000000"/>
              </w:rPr>
              <w:t>3</w:t>
            </w:r>
            <w:r>
              <w:rPr>
                <w:rFonts w:ascii="仿宋_GB2312" w:hAnsi="仿宋_GB2312" w:cs="仿宋_GB2312" w:eastAsia="仿宋_GB2312"/>
                <w:sz w:val="24"/>
                <w:color w:val="000000"/>
              </w:rPr>
              <w:t>个工作日内予以赔付，减轻学校压力，避免纠结。</w:t>
            </w:r>
          </w:p>
          <w:p>
            <w:pPr>
              <w:pStyle w:val="null3"/>
            </w:pP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五、服务要求</w:t>
            </w:r>
            <w:r>
              <w:rPr>
                <w:rFonts w:ascii="仿宋_GB2312" w:hAnsi="仿宋_GB2312" w:cs="仿宋_GB2312" w:eastAsia="仿宋_GB2312"/>
                <w:sz w:val="24"/>
                <w:b/>
                <w:color w:val="000000"/>
              </w:rPr>
              <w:t xml:space="preserve">(如对人员配置、专业设备、服务标准等)  </w:t>
            </w:r>
            <w:r>
              <w:rPr>
                <w:rFonts w:ascii="仿宋_GB2312" w:hAnsi="仿宋_GB2312" w:cs="仿宋_GB2312" w:eastAsia="仿宋_GB2312"/>
                <w:sz w:val="21"/>
                <w:color w:val="000000"/>
              </w:rPr>
              <w:t xml:space="preserve">   </w:t>
            </w:r>
          </w:p>
          <w:p>
            <w:pPr>
              <w:pStyle w:val="null3"/>
            </w:pPr>
            <w:r>
              <w:rPr>
                <w:rFonts w:ascii="仿宋_GB2312" w:hAnsi="仿宋_GB2312" w:cs="仿宋_GB2312" w:eastAsia="仿宋_GB2312"/>
                <w:sz w:val="24"/>
                <w:color w:val="000000"/>
              </w:rPr>
              <w:t>1.针对本项目配备相关业务人员，确保按期完成投保；</w:t>
            </w:r>
          </w:p>
          <w:p>
            <w:pPr>
              <w:pStyle w:val="null3"/>
            </w:pPr>
            <w:r>
              <w:rPr>
                <w:rFonts w:ascii="仿宋_GB2312" w:hAnsi="仿宋_GB2312" w:cs="仿宋_GB2312" w:eastAsia="仿宋_GB2312"/>
                <w:sz w:val="24"/>
                <w:color w:val="000000"/>
              </w:rPr>
              <w:t>2.接到投保人的投保信息通知，5天内出具保险单证，并送达到指定地方；</w:t>
            </w:r>
          </w:p>
          <w:p>
            <w:pPr>
              <w:pStyle w:val="null3"/>
            </w:pPr>
            <w:r>
              <w:rPr>
                <w:rFonts w:ascii="仿宋_GB2312" w:hAnsi="仿宋_GB2312" w:cs="仿宋_GB2312" w:eastAsia="仿宋_GB2312"/>
                <w:sz w:val="24"/>
                <w:color w:val="000000"/>
              </w:rPr>
              <w:t>3.每周对投保情况进行汇总，提交采购人；</w:t>
            </w:r>
          </w:p>
          <w:p>
            <w:pPr>
              <w:pStyle w:val="null3"/>
            </w:pPr>
            <w:r>
              <w:rPr>
                <w:rFonts w:ascii="仿宋_GB2312" w:hAnsi="仿宋_GB2312" w:cs="仿宋_GB2312" w:eastAsia="仿宋_GB2312"/>
                <w:sz w:val="24"/>
                <w:color w:val="000000"/>
              </w:rPr>
              <w:t>4.被报险学校有人员变动、名称或地址变更、合并、注销、分立、设立分校等事宜时，及时做好上述事项的保全服务工作；</w:t>
            </w:r>
          </w:p>
          <w:p>
            <w:pPr>
              <w:pStyle w:val="null3"/>
            </w:pPr>
            <w:r>
              <w:rPr>
                <w:rFonts w:ascii="仿宋_GB2312" w:hAnsi="仿宋_GB2312" w:cs="仿宋_GB2312" w:eastAsia="仿宋_GB2312"/>
                <w:sz w:val="24"/>
                <w:color w:val="000000"/>
              </w:rPr>
              <w:t>5.具有专人负责跟采购人进行对接，确保及时处理突发情况。</w:t>
            </w:r>
          </w:p>
          <w:p>
            <w:pPr>
              <w:pStyle w:val="null3"/>
            </w:pPr>
            <w:r>
              <w:rPr>
                <w:rFonts w:ascii="仿宋_GB2312" w:hAnsi="仿宋_GB2312" w:cs="仿宋_GB2312" w:eastAsia="仿宋_GB2312"/>
                <w:sz w:val="24"/>
                <w:b/>
                <w:color w:val="000000"/>
              </w:rPr>
              <w:t>六、商务要求</w:t>
            </w:r>
            <w:r>
              <w:rPr>
                <w:rFonts w:ascii="仿宋_GB2312" w:hAnsi="仿宋_GB2312" w:cs="仿宋_GB2312" w:eastAsia="仿宋_GB2312"/>
                <w:sz w:val="24"/>
                <w:b/>
                <w:color w:val="000000"/>
              </w:rPr>
              <w:t xml:space="preserve">(如服务期限、款项结算等)  </w:t>
            </w:r>
            <w:r>
              <w:rPr>
                <w:rFonts w:ascii="仿宋_GB2312" w:hAnsi="仿宋_GB2312" w:cs="仿宋_GB2312" w:eastAsia="仿宋_GB2312"/>
                <w:sz w:val="21"/>
                <w:color w:val="000000"/>
              </w:rPr>
              <w:t xml:space="preserve">                </w:t>
            </w:r>
          </w:p>
          <w:p>
            <w:pPr>
              <w:pStyle w:val="null3"/>
            </w:pPr>
            <w:r>
              <w:rPr>
                <w:rFonts w:ascii="仿宋_GB2312" w:hAnsi="仿宋_GB2312" w:cs="仿宋_GB2312" w:eastAsia="仿宋_GB2312"/>
                <w:sz w:val="24"/>
                <w:color w:val="000000"/>
              </w:rPr>
              <w:t>(一)服务期限</w:t>
            </w:r>
          </w:p>
          <w:p>
            <w:pPr>
              <w:pStyle w:val="null3"/>
            </w:pPr>
            <w:r>
              <w:rPr>
                <w:rFonts w:ascii="仿宋_GB2312" w:hAnsi="仿宋_GB2312" w:cs="仿宋_GB2312" w:eastAsia="仿宋_GB2312"/>
                <w:sz w:val="24"/>
                <w:color w:val="000000"/>
              </w:rPr>
              <w:t>项目有效期：壹年，自</w:t>
            </w:r>
            <w:r>
              <w:rPr>
                <w:rFonts w:ascii="仿宋_GB2312" w:hAnsi="仿宋_GB2312" w:cs="仿宋_GB2312" w:eastAsia="仿宋_GB2312"/>
                <w:sz w:val="24"/>
                <w:color w:val="000000"/>
              </w:rPr>
              <w:t>2025年9月1日起生效，至2026年8月31日终止。</w:t>
            </w:r>
          </w:p>
          <w:p>
            <w:pPr>
              <w:pStyle w:val="null3"/>
            </w:pPr>
            <w:r>
              <w:rPr>
                <w:rFonts w:ascii="仿宋_GB2312" w:hAnsi="仿宋_GB2312" w:cs="仿宋_GB2312" w:eastAsia="仿宋_GB2312"/>
                <w:sz w:val="24"/>
                <w:color w:val="000000"/>
              </w:rPr>
              <w:t>(二)款项结算</w:t>
            </w:r>
          </w:p>
          <w:p>
            <w:pPr>
              <w:pStyle w:val="null3"/>
            </w:pPr>
            <w:r>
              <w:rPr>
                <w:rFonts w:ascii="仿宋_GB2312" w:hAnsi="仿宋_GB2312" w:cs="仿宋_GB2312" w:eastAsia="仿宋_GB2312"/>
                <w:sz w:val="24"/>
                <w:color w:val="000000"/>
              </w:rPr>
              <w:t>1.所有投保服务完成后，且经采购人核验合格后，各校单位统一向投保专户划拨保费。</w:t>
            </w:r>
          </w:p>
          <w:p>
            <w:pPr>
              <w:pStyle w:val="null3"/>
            </w:pPr>
            <w:r>
              <w:rPr>
                <w:rFonts w:ascii="仿宋_GB2312" w:hAnsi="仿宋_GB2312" w:cs="仿宋_GB2312" w:eastAsia="仿宋_GB2312"/>
                <w:sz w:val="24"/>
                <w:color w:val="000000"/>
              </w:rPr>
              <w:t>2.供应商应于采购人每次付款前向采购人开具等额保单和发票。</w:t>
            </w:r>
          </w:p>
          <w:p>
            <w:pPr>
              <w:pStyle w:val="null3"/>
            </w:pP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七、其他</w:t>
            </w:r>
            <w:r>
              <w:rPr>
                <w:rFonts w:ascii="仿宋_GB2312" w:hAnsi="仿宋_GB2312" w:cs="仿宋_GB2312" w:eastAsia="仿宋_GB2312"/>
                <w:sz w:val="24"/>
                <w:b/>
                <w:color w:val="000000"/>
              </w:rPr>
              <w:t xml:space="preserve">(如有要求，请写明)   </w:t>
            </w:r>
            <w:r>
              <w:rPr>
                <w:rFonts w:ascii="仿宋_GB2312" w:hAnsi="仿宋_GB2312" w:cs="仿宋_GB2312" w:eastAsia="仿宋_GB2312"/>
                <w:sz w:val="21"/>
                <w:color w:val="000000"/>
              </w:rPr>
              <w:t xml:space="preserve">                      </w:t>
            </w:r>
          </w:p>
          <w:p>
            <w:pPr>
              <w:pStyle w:val="null3"/>
            </w:pPr>
            <w:r>
              <w:rPr>
                <w:rFonts w:ascii="仿宋_GB2312" w:hAnsi="仿宋_GB2312" w:cs="仿宋_GB2312" w:eastAsia="仿宋_GB2312"/>
                <w:sz w:val="24"/>
                <w:color w:val="000000"/>
              </w:rPr>
              <w:t>(一)进度要求</w:t>
            </w:r>
          </w:p>
          <w:p>
            <w:pPr>
              <w:pStyle w:val="null3"/>
            </w:pPr>
            <w:r>
              <w:rPr>
                <w:rFonts w:ascii="仿宋_GB2312" w:hAnsi="仿宋_GB2312" w:cs="仿宋_GB2312" w:eastAsia="仿宋_GB2312"/>
                <w:sz w:val="24"/>
                <w:color w:val="000000"/>
              </w:rPr>
              <w:t>按要求完成投保办理工作。</w:t>
            </w:r>
          </w:p>
          <w:p>
            <w:pPr>
              <w:pStyle w:val="null3"/>
            </w:pPr>
            <w:r>
              <w:rPr>
                <w:rFonts w:ascii="仿宋_GB2312" w:hAnsi="仿宋_GB2312" w:cs="仿宋_GB2312" w:eastAsia="仿宋_GB2312"/>
                <w:sz w:val="24"/>
                <w:color w:val="000000"/>
              </w:rPr>
              <w:t>(二)成果交付要求</w:t>
            </w:r>
          </w:p>
          <w:p>
            <w:pPr>
              <w:pStyle w:val="null3"/>
            </w:pPr>
            <w:r>
              <w:rPr>
                <w:rFonts w:ascii="仿宋_GB2312" w:hAnsi="仿宋_GB2312" w:cs="仿宋_GB2312" w:eastAsia="仿宋_GB2312"/>
                <w:sz w:val="24"/>
                <w:color w:val="000000"/>
              </w:rPr>
              <w:t>完成全区各级各类学校投保工作。</w:t>
            </w:r>
          </w:p>
          <w:p>
            <w:pPr>
              <w:pStyle w:val="null3"/>
            </w:pPr>
            <w:r>
              <w:rPr>
                <w:rFonts w:ascii="仿宋_GB2312" w:hAnsi="仿宋_GB2312" w:cs="仿宋_GB2312" w:eastAsia="仿宋_GB2312"/>
                <w:sz w:val="24"/>
                <w:color w:val="000000"/>
              </w:rPr>
              <w:t>(三)质量验收标准或规范</w:t>
            </w:r>
          </w:p>
          <w:p>
            <w:pPr>
              <w:pStyle w:val="null3"/>
            </w:pPr>
            <w:r>
              <w:rPr>
                <w:rFonts w:ascii="仿宋_GB2312" w:hAnsi="仿宋_GB2312" w:cs="仿宋_GB2312" w:eastAsia="仿宋_GB2312"/>
                <w:sz w:val="24"/>
                <w:color w:val="000000"/>
              </w:rPr>
              <w:t>本项目必须符合保险行业相关规范标准。</w:t>
            </w:r>
          </w:p>
          <w:p>
            <w:pPr>
              <w:pStyle w:val="null3"/>
            </w:pPr>
            <w:r>
              <w:rPr>
                <w:rFonts w:ascii="仿宋_GB2312" w:hAnsi="仿宋_GB2312" w:cs="仿宋_GB2312" w:eastAsia="仿宋_GB2312"/>
                <w:sz w:val="24"/>
                <w:color w:val="000000"/>
              </w:rPr>
              <w:t>(四)违约责任</w:t>
            </w:r>
          </w:p>
          <w:p>
            <w:pPr>
              <w:pStyle w:val="null3"/>
            </w:pPr>
            <w:r>
              <w:rPr>
                <w:rFonts w:ascii="仿宋_GB2312" w:hAnsi="仿宋_GB2312" w:cs="仿宋_GB2312" w:eastAsia="仿宋_GB2312"/>
                <w:sz w:val="24"/>
                <w:color w:val="000000"/>
              </w:rPr>
              <w:t>如果乙方没有按照合同规定的要求提供服务，或保险期限内各项服务有不当之处或者甲方有不良反映的，甲方有权终止本协议。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1.针对本项目配备相关业务人员，确保按期完成投保； 2.接到投保人的投保信息通知，5天内出具保险单证，并送达到指定地方； 3.每周对投保情况进行汇总，提交采购人； 4.被报险学校有人员变动、名称或地址变更、合并、注销、分立、设立分校等事宜时，及时做好上述事项的保全服务工作； 5.具有专人负责跟采购人进行对接，确保及时处理突发情况。</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壹年，自2025年9月1日起生效，至2026年8月31日终止。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达到国家、省、市相关行业规范要求的“合格”标准，符合采购人的要求。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被保险学校按实际注册学生数于合同签订后按每学年度结算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标的对应的中小企业划分标准所属行业为其他未列明行业。其他未列明行业的划型标准为：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提供合格有效的法人或者其他组织的营业执照、事业单位法人证等证明文件或自然人的身份证明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法定代表人（主要负责人）委托代理人参加磋商时，应提供法定代表人（主要负责人）委托授权书；法定代表人（主要负责人）亲自参加磋商时，应提供法定代表人（主要负责人）身份证明书</w:t>
            </w:r>
          </w:p>
        </w:tc>
        <w:tc>
          <w:tcPr>
            <w:tcW w:type="dxa" w:w="1661"/>
          </w:tcPr>
          <w:p>
            <w:pPr>
              <w:pStyle w:val="null3"/>
            </w:pPr>
            <w:r>
              <w:rPr>
                <w:rFonts w:ascii="仿宋_GB2312" w:hAnsi="仿宋_GB2312" w:cs="仿宋_GB2312" w:eastAsia="仿宋_GB2312"/>
              </w:rPr>
              <w:t>法定代表人身份证明、法定代表人授权.docx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提供2023年度或2024年度经审计的财务报告（成立时间至提交响应文件提交截止时间不足一年的可提供成立后任意时段的资产负债表），或响应文件提交截止时间前六个月内银行出具的资信证明</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专业技术能力说明</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具有履行本合同所必需的设备和专业技术能力的书面声明.docx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供应商无须提供，磋商现场查询）</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无重大违法说明</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供应商无重大违法记录书面声明.docx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具有国家金融监督管理总局（原中国银行保险监督管理委员会）颁发的经营保险业务许可证或保险许可证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同一保险机构只允许其本部或一家分支机构参与磋商</w:t>
            </w:r>
          </w:p>
        </w:tc>
        <w:tc>
          <w:tcPr>
            <w:tcW w:type="dxa" w:w="1661"/>
          </w:tcPr>
          <w:p>
            <w:pPr>
              <w:pStyle w:val="null3"/>
            </w:pPr>
            <w:r>
              <w:rPr>
                <w:rFonts w:ascii="仿宋_GB2312" w:hAnsi="仿宋_GB2312" w:cs="仿宋_GB2312" w:eastAsia="仿宋_GB2312"/>
              </w:rPr>
              <w:t>投标人投标资格承诺书.docx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联合体承诺书</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本项目不接受联合体.docx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 盖章。</w:t>
            </w:r>
          </w:p>
        </w:tc>
        <w:tc>
          <w:tcPr>
            <w:tcW w:type="dxa" w:w="1661"/>
          </w:tcPr>
          <w:p>
            <w:pPr>
              <w:pStyle w:val="null3"/>
            </w:pPr>
            <w:r>
              <w:rPr>
                <w:rFonts w:ascii="仿宋_GB2312" w:hAnsi="仿宋_GB2312" w:cs="仿宋_GB2312" w:eastAsia="仿宋_GB2312"/>
              </w:rPr>
              <w:t>服务内容及服务邀请应答表 法定代表人身份证明、法定代表人授权.docx 中小企业声明函 商务应答表 类似业绩情况.docx 供应商应提交的相关资格证明材料 报价表 具有履行本合同所必需的设备和专业技术能力的书面声明.docx 投标人投标资格承诺书.docx 供应商承诺书.docx 供应商无重大违法记录书面声明.docx 响应文件封面 残疾人福利性单位声明函 标的清单 供应商资格证明文件.docx 响应函 本项目不接受联合体.docx 赔偿限额报价.docx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响应文件封面 标的清单 报价表 响应函 赔偿限额报价.docx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承保服务</w:t>
            </w:r>
          </w:p>
        </w:tc>
        <w:tc>
          <w:tcPr>
            <w:tcW w:type="dxa" w:w="2492"/>
          </w:tcPr>
          <w:p>
            <w:pPr>
              <w:pStyle w:val="null3"/>
            </w:pPr>
            <w:r>
              <w:rPr>
                <w:rFonts w:ascii="仿宋_GB2312" w:hAnsi="仿宋_GB2312" w:cs="仿宋_GB2312" w:eastAsia="仿宋_GB2312"/>
              </w:rPr>
              <w:t>1、在5个工作日内按要求出具正式保险单和发票，承诺能够提供得1分，否则不得分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承保服务</w:t>
            </w:r>
          </w:p>
        </w:tc>
        <w:tc>
          <w:tcPr>
            <w:tcW w:type="dxa" w:w="2492"/>
          </w:tcPr>
          <w:p>
            <w:pPr>
              <w:pStyle w:val="null3"/>
            </w:pPr>
            <w:r>
              <w:rPr>
                <w:rFonts w:ascii="仿宋_GB2312" w:hAnsi="仿宋_GB2312" w:cs="仿宋_GB2312" w:eastAsia="仿宋_GB2312"/>
              </w:rPr>
              <w:t>2、能够承诺若全部被保险学校学生总数变动幅度不超过5%的不增加保费的得1分，未做承诺不得分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承保服务</w:t>
            </w:r>
          </w:p>
        </w:tc>
        <w:tc>
          <w:tcPr>
            <w:tcW w:type="dxa" w:w="2492"/>
          </w:tcPr>
          <w:p>
            <w:pPr>
              <w:pStyle w:val="null3"/>
            </w:pPr>
            <w:r>
              <w:rPr>
                <w:rFonts w:ascii="仿宋_GB2312" w:hAnsi="仿宋_GB2312" w:cs="仿宋_GB2312" w:eastAsia="仿宋_GB2312"/>
              </w:rPr>
              <w:t>3、设有 24 小时热线客户咨询服务、投诉举报电话，有专人接听记录、受理；有服务保障措施，如对服务态度、服务质量较差的业务人员有具体处罚办法，计0-3分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承保服务</w:t>
            </w:r>
          </w:p>
        </w:tc>
        <w:tc>
          <w:tcPr>
            <w:tcW w:type="dxa" w:w="2492"/>
          </w:tcPr>
          <w:p>
            <w:pPr>
              <w:pStyle w:val="null3"/>
            </w:pPr>
            <w:r>
              <w:rPr>
                <w:rFonts w:ascii="仿宋_GB2312" w:hAnsi="仿宋_GB2312" w:cs="仿宋_GB2312" w:eastAsia="仿宋_GB2312"/>
              </w:rPr>
              <w:t>4、提供一整套完善的承保方案及流程，根据承保方案完整、全面、合理，针对性，承保流程合理性、快捷性得0-5分，未提供不得分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理赔服务</w:t>
            </w:r>
          </w:p>
        </w:tc>
        <w:tc>
          <w:tcPr>
            <w:tcW w:type="dxa" w:w="2492"/>
          </w:tcPr>
          <w:p>
            <w:pPr>
              <w:pStyle w:val="null3"/>
            </w:pPr>
            <w:r>
              <w:rPr>
                <w:rFonts w:ascii="仿宋_GB2312" w:hAnsi="仿宋_GB2312" w:cs="仿宋_GB2312" w:eastAsia="仿宋_GB2312"/>
              </w:rPr>
              <w:t>1、建立针对本项目的专项工作小组，理赔流程详尽合理，方便快捷，有一整套完善的理赔措施的得（3-6］分，建立本项目工作小组，理赔流程基本清晰，理赔措施空洞具有一定可操作性但不具体的得（0-3］分，未提供理赔流程及理赔措施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理赔服务</w:t>
            </w:r>
          </w:p>
        </w:tc>
        <w:tc>
          <w:tcPr>
            <w:tcW w:type="dxa" w:w="2492"/>
          </w:tcPr>
          <w:p>
            <w:pPr>
              <w:pStyle w:val="null3"/>
            </w:pPr>
            <w:r>
              <w:rPr>
                <w:rFonts w:ascii="仿宋_GB2312" w:hAnsi="仿宋_GB2312" w:cs="仿宋_GB2312" w:eastAsia="仿宋_GB2312"/>
              </w:rPr>
              <w:t>2、根据各供应商对校方责任事故处理的理赔时效进行赋分，满分5分。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理赔服务</w:t>
            </w:r>
          </w:p>
        </w:tc>
        <w:tc>
          <w:tcPr>
            <w:tcW w:type="dxa" w:w="2492"/>
          </w:tcPr>
          <w:p>
            <w:pPr>
              <w:pStyle w:val="null3"/>
            </w:pPr>
            <w:r>
              <w:rPr>
                <w:rFonts w:ascii="仿宋_GB2312" w:hAnsi="仿宋_GB2312" w:cs="仿宋_GB2312" w:eastAsia="仿宋_GB2312"/>
              </w:rPr>
              <w:t>3、对可认定责任的事故不设报案时限的得1分，其他不得分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理赔服务</w:t>
            </w:r>
          </w:p>
        </w:tc>
        <w:tc>
          <w:tcPr>
            <w:tcW w:type="dxa" w:w="2492"/>
          </w:tcPr>
          <w:p>
            <w:pPr>
              <w:pStyle w:val="null3"/>
            </w:pPr>
            <w:r>
              <w:rPr>
                <w:rFonts w:ascii="仿宋_GB2312" w:hAnsi="仿宋_GB2312" w:cs="仿宋_GB2312" w:eastAsia="仿宋_GB2312"/>
              </w:rPr>
              <w:t>4、提供详细的重大事故的协商处理方案，方案可操作性强，贴合实际的得（3-6］分，提供重大事故的协商处理方案，方案内容宽泛，可操作性一般的得（0-3］分，未提供重大事故的协商处理方案的不得分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理赔服务</w:t>
            </w:r>
          </w:p>
        </w:tc>
        <w:tc>
          <w:tcPr>
            <w:tcW w:type="dxa" w:w="2492"/>
          </w:tcPr>
          <w:p>
            <w:pPr>
              <w:pStyle w:val="null3"/>
            </w:pPr>
            <w:r>
              <w:rPr>
                <w:rFonts w:ascii="仿宋_GB2312" w:hAnsi="仿宋_GB2312" w:cs="仿宋_GB2312" w:eastAsia="仿宋_GB2312"/>
              </w:rPr>
              <w:t>5、能够认同采购人对特殊事故的处理意见，有通融赔付机制和案例的得（3-6］分，能够认同采购人对特殊事故的处理意见通融赔付机制和案例不全的得（0-3］分，未提供相关内容不得分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理赔服务</w:t>
            </w:r>
          </w:p>
        </w:tc>
        <w:tc>
          <w:tcPr>
            <w:tcW w:type="dxa" w:w="2492"/>
          </w:tcPr>
          <w:p>
            <w:pPr>
              <w:pStyle w:val="null3"/>
            </w:pPr>
            <w:r>
              <w:rPr>
                <w:rFonts w:ascii="仿宋_GB2312" w:hAnsi="仿宋_GB2312" w:cs="仿宋_GB2312" w:eastAsia="仿宋_GB2312"/>
              </w:rPr>
              <w:t>6、能够承诺做到接报案后在1个工作日内提出处理意见的得2分，否则不得分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理赔服务</w:t>
            </w:r>
          </w:p>
        </w:tc>
        <w:tc>
          <w:tcPr>
            <w:tcW w:type="dxa" w:w="2492"/>
          </w:tcPr>
          <w:p>
            <w:pPr>
              <w:pStyle w:val="null3"/>
            </w:pPr>
            <w:r>
              <w:rPr>
                <w:rFonts w:ascii="仿宋_GB2312" w:hAnsi="仿宋_GB2312" w:cs="仿宋_GB2312" w:eastAsia="仿宋_GB2312"/>
              </w:rPr>
              <w:t>7、对学校提供理赔材料有欠缺的能协助处理的得（1-4］分，对学校提供理赔材料有欠缺的协助处理困难的得（0-1］分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理赔服务</w:t>
            </w:r>
          </w:p>
        </w:tc>
        <w:tc>
          <w:tcPr>
            <w:tcW w:type="dxa" w:w="2492"/>
          </w:tcPr>
          <w:p>
            <w:pPr>
              <w:pStyle w:val="null3"/>
            </w:pPr>
            <w:r>
              <w:rPr>
                <w:rFonts w:ascii="仿宋_GB2312" w:hAnsi="仿宋_GB2312" w:cs="仿宋_GB2312" w:eastAsia="仿宋_GB2312"/>
              </w:rPr>
              <w:t>8、根据各供应商上门收取学校理赔资料的服务流程赋分，满分3分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附加服务</w:t>
            </w:r>
          </w:p>
        </w:tc>
        <w:tc>
          <w:tcPr>
            <w:tcW w:type="dxa" w:w="2492"/>
          </w:tcPr>
          <w:p>
            <w:pPr>
              <w:pStyle w:val="null3"/>
            </w:pPr>
            <w:r>
              <w:rPr>
                <w:rFonts w:ascii="仿宋_GB2312" w:hAnsi="仿宋_GB2312" w:cs="仿宋_GB2312" w:eastAsia="仿宋_GB2312"/>
              </w:rPr>
              <w:t>1、根据提供的有其他特色服务承诺赋分（0-8］分，评审标准：内容科学、针对性强得（5-8］分；内容合理、可行得（2-5］分；内容欠妥得1分；未提供的不得分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附加服务</w:t>
            </w:r>
          </w:p>
        </w:tc>
        <w:tc>
          <w:tcPr>
            <w:tcW w:type="dxa" w:w="2492"/>
          </w:tcPr>
          <w:p>
            <w:pPr>
              <w:pStyle w:val="null3"/>
            </w:pPr>
            <w:r>
              <w:rPr>
                <w:rFonts w:ascii="仿宋_GB2312" w:hAnsi="仿宋_GB2312" w:cs="仿宋_GB2312" w:eastAsia="仿宋_GB2312"/>
              </w:rPr>
              <w:t>2、根据提供的增值服务内容进行赋分（0-7］分；评审标准：内容科学、针对性强得（4-7］分；内容合理、可行得（2-4］分；内容欠妥得1分；未提供的不得分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附加服务</w:t>
            </w:r>
          </w:p>
        </w:tc>
        <w:tc>
          <w:tcPr>
            <w:tcW w:type="dxa" w:w="2492"/>
          </w:tcPr>
          <w:p>
            <w:pPr>
              <w:pStyle w:val="null3"/>
            </w:pPr>
            <w:r>
              <w:rPr>
                <w:rFonts w:ascii="仿宋_GB2312" w:hAnsi="仿宋_GB2312" w:cs="仿宋_GB2312" w:eastAsia="仿宋_GB2312"/>
              </w:rPr>
              <w:t>3、具备参与区级校园风险处理的人力、财力安排(0-3］分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附加服务</w:t>
            </w:r>
          </w:p>
        </w:tc>
        <w:tc>
          <w:tcPr>
            <w:tcW w:type="dxa" w:w="2492"/>
          </w:tcPr>
          <w:p>
            <w:pPr>
              <w:pStyle w:val="null3"/>
            </w:pPr>
            <w:r>
              <w:rPr>
                <w:rFonts w:ascii="仿宋_GB2312" w:hAnsi="仿宋_GB2312" w:cs="仿宋_GB2312" w:eastAsia="仿宋_GB2312"/>
              </w:rPr>
              <w:t>4、定期对客户进行回访，组织实施回访服务（0-2］分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服务措施评审</w:t>
            </w:r>
          </w:p>
        </w:tc>
        <w:tc>
          <w:tcPr>
            <w:tcW w:type="dxa" w:w="2492"/>
          </w:tcPr>
          <w:p>
            <w:pPr>
              <w:pStyle w:val="null3"/>
            </w:pPr>
            <w:r>
              <w:rPr>
                <w:rFonts w:ascii="仿宋_GB2312" w:hAnsi="仿宋_GB2312" w:cs="仿宋_GB2312" w:eastAsia="仿宋_GB2312"/>
              </w:rPr>
              <w:t>1、根据各供应商在响应文件中列出售后服务内容和方式，建立售后服务团队情况赋分（6-8］分，提供的专业服务人员的构成、配备科学合理，并能够提供优质保障服务的得（3-6］分；内容较薄弱且未提供证明材料的得（0-3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服务措施评审</w:t>
            </w:r>
          </w:p>
        </w:tc>
        <w:tc>
          <w:tcPr>
            <w:tcW w:type="dxa" w:w="2492"/>
          </w:tcPr>
          <w:p>
            <w:pPr>
              <w:pStyle w:val="null3"/>
            </w:pPr>
            <w:r>
              <w:rPr>
                <w:rFonts w:ascii="仿宋_GB2312" w:hAnsi="仿宋_GB2312" w:cs="仿宋_GB2312" w:eastAsia="仿宋_GB2312"/>
              </w:rPr>
              <w:t>2、服务方案切实可行，能够考虑并满足教育行业服务的需求，能够协助采购人及其学校做好对被保险对象的培训和风险管理工作的情况赋分（0-7］分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提供2021年9月 1 日至今同类项目合同(以合同签订日期为准)，提供一个计0.5分计满2分为止。注：以保单复印件、合同复印件、中标通知书为准，加盖公章，附在响应文件中。</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类似业绩情况.docx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每生每年累计赔偿限额 （校园方责任险）</w:t>
            </w:r>
          </w:p>
        </w:tc>
        <w:tc>
          <w:tcPr>
            <w:tcW w:type="dxa" w:w="2492"/>
          </w:tcPr>
          <w:p>
            <w:pPr>
              <w:pStyle w:val="null3"/>
            </w:pPr>
            <w:r>
              <w:rPr>
                <w:rFonts w:ascii="仿宋_GB2312" w:hAnsi="仿宋_GB2312" w:cs="仿宋_GB2312" w:eastAsia="仿宋_GB2312"/>
              </w:rPr>
              <w:t>按供应商所报每生每年累计赔偿限额从高到低排序，每生每年累计赔偿限额最高的为基准价。供应商所报每生每年累计赔偿限额得分计算公式为：每生每年累计赔偿限额/基准价×2.5％×100。</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赔偿限额报价.docx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每所学校每次事故赔偿限额 （校园方责任险）</w:t>
            </w:r>
          </w:p>
        </w:tc>
        <w:tc>
          <w:tcPr>
            <w:tcW w:type="dxa" w:w="2492"/>
          </w:tcPr>
          <w:p>
            <w:pPr>
              <w:pStyle w:val="null3"/>
            </w:pPr>
            <w:r>
              <w:rPr>
                <w:rFonts w:ascii="仿宋_GB2312" w:hAnsi="仿宋_GB2312" w:cs="仿宋_GB2312" w:eastAsia="仿宋_GB2312"/>
              </w:rPr>
              <w:t>按供应商所报每所学校每次事故赔偿限额从高到低排序，每所学校每次事故赔偿限额最高的为基准价。供应商所报每所学校每次事故赔偿限额得分计算公式为：每所学校每次事故赔偿限额/基准价×2.5％×100。</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每生每年累计赔偿限额 （校园方无过失责任险）</w:t>
            </w:r>
          </w:p>
        </w:tc>
        <w:tc>
          <w:tcPr>
            <w:tcW w:type="dxa" w:w="2492"/>
          </w:tcPr>
          <w:p>
            <w:pPr>
              <w:pStyle w:val="null3"/>
            </w:pPr>
            <w:r>
              <w:rPr>
                <w:rFonts w:ascii="仿宋_GB2312" w:hAnsi="仿宋_GB2312" w:cs="仿宋_GB2312" w:eastAsia="仿宋_GB2312"/>
              </w:rPr>
              <w:t>按供应商所报每生每年累计赔偿限额从高到低排序，每生每年累计赔偿限额最高的为基准价。供应商所报每生每年累计赔偿限额得分计算公式为：每生每年累计赔偿限额/基准价×2.5％×100。</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赔偿限额报价.docx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每所学校每次事故赔偿限额 （校园方无过失责任险）</w:t>
            </w:r>
          </w:p>
        </w:tc>
        <w:tc>
          <w:tcPr>
            <w:tcW w:type="dxa" w:w="2492"/>
          </w:tcPr>
          <w:p>
            <w:pPr>
              <w:pStyle w:val="null3"/>
            </w:pPr>
            <w:r>
              <w:rPr>
                <w:rFonts w:ascii="仿宋_GB2312" w:hAnsi="仿宋_GB2312" w:cs="仿宋_GB2312" w:eastAsia="仿宋_GB2312"/>
              </w:rPr>
              <w:t>按供应商所报每所学校每次事故赔偿限额从高到低排序，每所学校每次事故赔偿限额最高的为基准价。供应商所报每所学校每次事故赔偿限额得分计算公式为：每所学校每次事故赔偿限额/基准价×2.5％×100。</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赔偿限额报价.docx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各有效供应商的评审价中，取最低者作为基准价，各有效供应商的价格评分统一按照下列公式计算：价格评分＝（基准价÷评审价） ×价格分分值。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详见附件：本项目不接受联合体.docx</w:t>
      </w:r>
    </w:p>
    <w:p>
      <w:pPr>
        <w:pStyle w:val="null3"/>
        <w:ind w:firstLine="960"/>
      </w:pPr>
      <w:r>
        <w:rPr>
          <w:rFonts w:ascii="仿宋_GB2312" w:hAnsi="仿宋_GB2312" w:cs="仿宋_GB2312" w:eastAsia="仿宋_GB2312"/>
        </w:rPr>
        <w:t>详见附件：法定代表人身份证明、法定代表人授权.docx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详见附件：类似业绩情况.docx</w:t>
      </w:r>
    </w:p>
    <w:p>
      <w:pPr>
        <w:pStyle w:val="null3"/>
        <w:ind w:firstLine="960"/>
      </w:pPr>
      <w:r>
        <w:rPr>
          <w:rFonts w:ascii="仿宋_GB2312" w:hAnsi="仿宋_GB2312" w:cs="仿宋_GB2312" w:eastAsia="仿宋_GB2312"/>
        </w:rPr>
        <w:t>详见附件：具有履行本合同所必需的设备和专业技术能力的书面声明.docx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详见附件：供应商无重大违法记录书面声明.docx</w:t>
      </w:r>
    </w:p>
    <w:p>
      <w:pPr>
        <w:pStyle w:val="null3"/>
        <w:ind w:firstLine="960"/>
      </w:pPr>
      <w:r>
        <w:rPr>
          <w:rFonts w:ascii="仿宋_GB2312" w:hAnsi="仿宋_GB2312" w:cs="仿宋_GB2312" w:eastAsia="仿宋_GB2312"/>
        </w:rPr>
        <w:t>详见附件：赔偿限额报价.docx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详见附件：投标人投标资格承诺书.docx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