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10FC95">
      <w:pPr>
        <w:jc w:val="center"/>
        <w:rPr>
          <w:sz w:val="32"/>
          <w:szCs w:val="32"/>
          <w:lang w:eastAsia="zh-CN"/>
        </w:rPr>
      </w:pPr>
      <w:r>
        <w:rPr>
          <w:rFonts w:hint="eastAsia" w:ascii="宋体" w:hAnsi="宋体" w:cs="宋体"/>
          <w:b/>
          <w:sz w:val="32"/>
          <w:szCs w:val="32"/>
          <w:lang w:eastAsia="zh-CN"/>
        </w:rPr>
        <w:t>供应商资格证明文件</w:t>
      </w:r>
    </w:p>
    <w:p w14:paraId="62A28A77">
      <w:pPr>
        <w:rPr>
          <w:rFonts w:ascii="宋体" w:hAnsi="宋体" w:cs="宋体"/>
          <w:sz w:val="24"/>
          <w:szCs w:val="24"/>
          <w:lang w:eastAsia="zh-CN"/>
        </w:rPr>
      </w:pPr>
    </w:p>
    <w:p w14:paraId="24FEA002">
      <w:pPr>
        <w:pStyle w:val="3"/>
        <w:spacing w:before="62" w:line="360" w:lineRule="auto"/>
        <w:ind w:firstLine="480" w:firstLineChars="200"/>
        <w:outlineLvl w:val="0"/>
        <w:rPr>
          <w:color w:val="000000" w:themeColor="text1"/>
          <w:sz w:val="24"/>
          <w:szCs w:val="24"/>
          <w:lang w:eastAsia="zh-CN"/>
          <w14:textFill>
            <w14:solidFill>
              <w14:schemeClr w14:val="tx1"/>
            </w14:solidFill>
          </w14:textFill>
        </w:rPr>
      </w:pPr>
      <w:r>
        <w:rPr>
          <w:rFonts w:hint="eastAsia"/>
          <w:color w:val="000000" w:themeColor="text1"/>
          <w:sz w:val="24"/>
          <w:szCs w:val="24"/>
          <w:lang w:eastAsia="zh-CN"/>
          <w14:textFill>
            <w14:solidFill>
              <w14:schemeClr w14:val="tx1"/>
            </w14:solidFill>
          </w14:textFill>
        </w:rPr>
        <w:t>1、提供合格有效的法人或者其他组织的营业执照、事业单位法人证等证明文件或自然人的身份证明；</w:t>
      </w:r>
    </w:p>
    <w:p w14:paraId="74108F33">
      <w:pPr>
        <w:pStyle w:val="3"/>
        <w:spacing w:before="62" w:line="360" w:lineRule="auto"/>
        <w:ind w:firstLine="480" w:firstLineChars="200"/>
        <w:outlineLvl w:val="0"/>
        <w:rPr>
          <w:color w:val="000000" w:themeColor="text1"/>
          <w:sz w:val="24"/>
          <w:szCs w:val="24"/>
          <w:lang w:eastAsia="zh-CN"/>
          <w14:textFill>
            <w14:solidFill>
              <w14:schemeClr w14:val="tx1"/>
            </w14:solidFill>
          </w14:textFill>
        </w:rPr>
      </w:pPr>
      <w:r>
        <w:rPr>
          <w:rFonts w:hint="eastAsia"/>
          <w:color w:val="000000" w:themeColor="text1"/>
          <w:sz w:val="24"/>
          <w:szCs w:val="24"/>
          <w:lang w:eastAsia="zh-CN"/>
          <w14:textFill>
            <w14:solidFill>
              <w14:schemeClr w14:val="tx1"/>
            </w14:solidFill>
          </w14:textFill>
        </w:rPr>
        <w:t>2、法定代表人（主要负责人）委托代理人参加磋商时，应提供法定代表人（主要负责人）委托授权书；法定代表人（主要负责人）亲自参加磋商时，应提供法定代表</w:t>
      </w:r>
      <w:bookmarkStart w:id="0" w:name="_GoBack"/>
      <w:bookmarkEnd w:id="0"/>
      <w:r>
        <w:rPr>
          <w:rFonts w:hint="eastAsia"/>
          <w:color w:val="000000" w:themeColor="text1"/>
          <w:sz w:val="24"/>
          <w:szCs w:val="24"/>
          <w:lang w:eastAsia="zh-CN"/>
          <w14:textFill>
            <w14:solidFill>
              <w14:schemeClr w14:val="tx1"/>
            </w14:solidFill>
          </w14:textFill>
        </w:rPr>
        <w:t>人（主要负责人）身份证明书；</w:t>
      </w:r>
    </w:p>
    <w:p w14:paraId="04BC1C33">
      <w:pPr>
        <w:pStyle w:val="3"/>
        <w:spacing w:before="62" w:line="360" w:lineRule="auto"/>
        <w:ind w:firstLine="480" w:firstLineChars="200"/>
        <w:outlineLvl w:val="0"/>
        <w:rPr>
          <w:color w:val="000000" w:themeColor="text1"/>
          <w:sz w:val="24"/>
          <w:szCs w:val="24"/>
          <w:lang w:eastAsia="zh-CN"/>
          <w14:textFill>
            <w14:solidFill>
              <w14:schemeClr w14:val="tx1"/>
            </w14:solidFill>
          </w14:textFill>
        </w:rPr>
      </w:pPr>
      <w:r>
        <w:rPr>
          <w:rFonts w:hint="eastAsia"/>
          <w:color w:val="000000" w:themeColor="text1"/>
          <w:sz w:val="24"/>
          <w:szCs w:val="24"/>
          <w:lang w:eastAsia="zh-CN"/>
          <w14:textFill>
            <w14:solidFill>
              <w14:schemeClr w14:val="tx1"/>
            </w14:solidFill>
          </w14:textFill>
        </w:rPr>
        <w:t>3、财务状况：提供2023年度或2024年度经审计的财务报告（成立时间至提交响应文件提交截止时间不足一年的可提供成立后任意时段的资产负债表），或响应文件提交截止时间前六个月内银行出具的资信证明；</w:t>
      </w:r>
    </w:p>
    <w:p w14:paraId="262574EB">
      <w:pPr>
        <w:pStyle w:val="3"/>
        <w:spacing w:before="62" w:line="360" w:lineRule="auto"/>
        <w:ind w:firstLine="480" w:firstLineChars="200"/>
        <w:outlineLvl w:val="0"/>
        <w:rPr>
          <w:color w:val="000000" w:themeColor="text1"/>
          <w:sz w:val="24"/>
          <w:szCs w:val="24"/>
          <w:lang w:eastAsia="zh-CN"/>
          <w14:textFill>
            <w14:solidFill>
              <w14:schemeClr w14:val="tx1"/>
            </w14:solidFill>
          </w14:textFill>
        </w:rPr>
      </w:pPr>
      <w:r>
        <w:rPr>
          <w:rFonts w:hint="eastAsia"/>
          <w:color w:val="000000" w:themeColor="text1"/>
          <w:sz w:val="24"/>
          <w:szCs w:val="24"/>
          <w:lang w:eastAsia="zh-CN"/>
          <w14:textFill>
            <w14:solidFill>
              <w14:schemeClr w14:val="tx1"/>
            </w14:solidFill>
          </w14:textFill>
        </w:rPr>
        <w:t>4、税收缴纳证明：提供响应文件提交截止时间前一年内已缴纳的至少一个月的纳税证明或完税证明（任意税种），依法免税的单位应提供相关证明材料；</w:t>
      </w:r>
    </w:p>
    <w:p w14:paraId="25E66D17">
      <w:pPr>
        <w:pStyle w:val="3"/>
        <w:spacing w:before="62" w:line="360" w:lineRule="auto"/>
        <w:ind w:firstLine="480" w:firstLineChars="200"/>
        <w:outlineLvl w:val="0"/>
        <w:rPr>
          <w:color w:val="000000" w:themeColor="text1"/>
          <w:sz w:val="24"/>
          <w:szCs w:val="24"/>
          <w:lang w:eastAsia="zh-CN"/>
          <w14:textFill>
            <w14:solidFill>
              <w14:schemeClr w14:val="tx1"/>
            </w14:solidFill>
          </w14:textFill>
        </w:rPr>
      </w:pPr>
      <w:r>
        <w:rPr>
          <w:rFonts w:hint="eastAsia"/>
          <w:color w:val="000000" w:themeColor="text1"/>
          <w:sz w:val="24"/>
          <w:szCs w:val="24"/>
          <w:lang w:eastAsia="zh-CN"/>
          <w14:textFill>
            <w14:solidFill>
              <w14:schemeClr w14:val="tx1"/>
            </w14:solidFill>
          </w14:textFill>
        </w:rPr>
        <w:t>5、社会保障资金缴纳证明：提供响应文件提交截止时间前一年内已缴存的至少一个月的社会保障资金缴存单据或社保机构开具的社会保险参保缴费情况证明，依法不需要缴纳社会保障资金的单位应提供相关证明材料；</w:t>
      </w:r>
    </w:p>
    <w:p w14:paraId="4AB5BE18">
      <w:pPr>
        <w:pStyle w:val="3"/>
        <w:spacing w:before="62" w:line="360" w:lineRule="auto"/>
        <w:ind w:firstLine="480" w:firstLineChars="200"/>
        <w:outlineLvl w:val="0"/>
        <w:rPr>
          <w:color w:val="000000" w:themeColor="text1"/>
          <w:sz w:val="24"/>
          <w:szCs w:val="24"/>
          <w:lang w:eastAsia="zh-CN"/>
          <w14:textFill>
            <w14:solidFill>
              <w14:schemeClr w14:val="tx1"/>
            </w14:solidFill>
          </w14:textFill>
        </w:rPr>
      </w:pPr>
      <w:r>
        <w:rPr>
          <w:rFonts w:hint="eastAsia"/>
          <w:color w:val="000000" w:themeColor="text1"/>
          <w:sz w:val="24"/>
          <w:szCs w:val="24"/>
          <w:lang w:eastAsia="zh-CN"/>
          <w14:textFill>
            <w14:solidFill>
              <w14:schemeClr w14:val="tx1"/>
            </w14:solidFill>
          </w14:textFill>
        </w:rPr>
        <w:t>6、专业技术能力说明：供应商提供具有履行本合同所必需的设备和专业技术能力的承诺函；</w:t>
      </w:r>
    </w:p>
    <w:p w14:paraId="0D27C9A5">
      <w:pPr>
        <w:pStyle w:val="3"/>
        <w:spacing w:before="62" w:line="360" w:lineRule="auto"/>
        <w:ind w:firstLine="480" w:firstLineChars="200"/>
        <w:outlineLvl w:val="0"/>
        <w:rPr>
          <w:color w:val="000000" w:themeColor="text1"/>
          <w:sz w:val="24"/>
          <w:szCs w:val="24"/>
          <w:lang w:eastAsia="zh-CN"/>
          <w14:textFill>
            <w14:solidFill>
              <w14:schemeClr w14:val="tx1"/>
            </w14:solidFill>
          </w14:textFill>
        </w:rPr>
      </w:pPr>
      <w:r>
        <w:rPr>
          <w:rFonts w:hint="eastAsia"/>
          <w:color w:val="000000" w:themeColor="text1"/>
          <w:sz w:val="24"/>
          <w:szCs w:val="24"/>
          <w:lang w:eastAsia="zh-CN"/>
          <w14:textFill>
            <w14:solidFill>
              <w14:schemeClr w14:val="tx1"/>
            </w14:solidFill>
          </w14:textFill>
        </w:rPr>
        <w:t>7、信用记录：供应商的信用记录须符合财库[2016]125号文《财政部关于在政府采购活动中查询及使用信用记录有关问题的通知》的规定。供应商被“信用中国”网站列入失信被执行人、重大税收违法案件当事人名单的，供应商被“中国政府采购网”网站列入政府采购严重违法失信名单的，不得参与本项目投标（供应商无须提供，磋商现场查询）；</w:t>
      </w:r>
    </w:p>
    <w:p w14:paraId="596F75B4">
      <w:pPr>
        <w:pStyle w:val="3"/>
        <w:spacing w:before="62" w:line="360" w:lineRule="auto"/>
        <w:ind w:firstLine="480" w:firstLineChars="200"/>
        <w:outlineLvl w:val="0"/>
        <w:rPr>
          <w:color w:val="000000" w:themeColor="text1"/>
          <w:sz w:val="24"/>
          <w:szCs w:val="24"/>
          <w:lang w:eastAsia="zh-CN"/>
          <w14:textFill>
            <w14:solidFill>
              <w14:schemeClr w14:val="tx1"/>
            </w14:solidFill>
          </w14:textFill>
        </w:rPr>
      </w:pPr>
      <w:r>
        <w:rPr>
          <w:rFonts w:hint="eastAsia"/>
          <w:color w:val="000000" w:themeColor="text1"/>
          <w:sz w:val="24"/>
          <w:szCs w:val="24"/>
          <w:lang w:eastAsia="zh-CN"/>
          <w14:textFill>
            <w14:solidFill>
              <w14:schemeClr w14:val="tx1"/>
            </w14:solidFill>
          </w14:textFill>
        </w:rPr>
        <w:t>8、无重大违法说明：参加本次政府采购活动前3年内在经营活动中没有重大违法记录，以及未被列入失信被执行人、重大税收违法案件当事人名单、政府采购严重违法失信行为记录名单的书面声明；</w:t>
      </w:r>
    </w:p>
    <w:p w14:paraId="3D956C7A">
      <w:pPr>
        <w:pStyle w:val="3"/>
        <w:spacing w:before="62" w:line="360" w:lineRule="auto"/>
        <w:ind w:firstLine="480" w:firstLineChars="200"/>
        <w:outlineLvl w:val="0"/>
        <w:rPr>
          <w:color w:val="000000" w:themeColor="text1"/>
          <w:sz w:val="24"/>
          <w:szCs w:val="24"/>
          <w:lang w:eastAsia="zh-CN"/>
          <w14:textFill>
            <w14:solidFill>
              <w14:schemeClr w14:val="tx1"/>
            </w14:solidFill>
          </w14:textFill>
        </w:rPr>
      </w:pPr>
      <w:r>
        <w:rPr>
          <w:rFonts w:hint="eastAsia"/>
          <w:color w:val="000000" w:themeColor="text1"/>
          <w:sz w:val="24"/>
          <w:szCs w:val="24"/>
          <w:lang w:eastAsia="zh-CN"/>
          <w14:textFill>
            <w14:solidFill>
              <w14:schemeClr w14:val="tx1"/>
            </w14:solidFill>
          </w14:textFill>
        </w:rPr>
        <w:t>9、具有国家金融监督管理总局（原中国银行保险监督管理委员会）颁发的经营保险业务许可证或保险许可证（同一保险机构只允许其本部或一家分支机构参与磋商；若本部和其他分支机构同时参与投标，其投标文件将被视为无效）。</w:t>
      </w:r>
    </w:p>
    <w:p w14:paraId="2349209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EF46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next w:val="1"/>
    <w:qFormat/>
    <w:uiPriority w:val="0"/>
    <w:pPr>
      <w:tabs>
        <w:tab w:val="center" w:pos="4153"/>
        <w:tab w:val="right" w:pos="8306"/>
      </w:tabs>
    </w:pPr>
    <w:rPr>
      <w:sz w:val="18"/>
    </w:rPr>
  </w:style>
  <w:style w:type="paragraph" w:styleId="3">
    <w:name w:val="Body Text"/>
    <w:basedOn w:val="1"/>
    <w:next w:val="1"/>
    <w:semiHidden/>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think</dc:creator>
  <cp:lastModifiedBy>think</cp:lastModifiedBy>
  <dcterms:modified xsi:type="dcterms:W3CDTF">2025-07-10T11:33:13Z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eyJoZGlkIjoiNDliZmRiOTdhNmEyNzA5NGMzMTE4ZWMzNTliNzczNDciLCJ1c2VySWQiOiI0MTc0NDQzOTIifQ==</vt:lpwstr>
  </property>
  <property fmtid="{D5CDD505-2E9C-101B-9397-08002B2CF9AE}" pid="4" name="ICV">
    <vt:lpwstr>FA045CE97BC248AAAA7A58FCBA543819_12</vt:lpwstr>
  </property>
</Properties>
</file>