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0F985">
      <w:pPr>
        <w:pStyle w:val="6"/>
        <w:jc w:val="center"/>
        <w:outlineLvl w:val="1"/>
        <w:rPr>
          <w:rFonts w:hint="default"/>
        </w:rPr>
      </w:pPr>
      <w:r>
        <w:rPr>
          <w:b/>
          <w:sz w:val="36"/>
        </w:rPr>
        <w:t>拟签订合同文本</w:t>
      </w:r>
    </w:p>
    <w:p w14:paraId="523B2C0B">
      <w:pPr>
        <w:jc w:val="center"/>
        <w:rPr>
          <w:rFonts w:ascii="宋体" w:hAnsi="宋体" w:cs="宋体"/>
          <w:b/>
          <w:sz w:val="36"/>
          <w:szCs w:val="36"/>
          <w:lang w:eastAsia="zh-CN"/>
        </w:rPr>
      </w:pPr>
    </w:p>
    <w:p w14:paraId="401842FB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甲方：</w:t>
      </w:r>
    </w:p>
    <w:p w14:paraId="7DCE7E35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 xml:space="preserve">乙方： </w:t>
      </w:r>
    </w:p>
    <w:p w14:paraId="75CCAE16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u w:val="single"/>
          <w:lang w:eastAsia="zh-CN"/>
        </w:rPr>
        <w:t>项目名称(项目编号：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>)</w:t>
      </w:r>
      <w:r>
        <w:rPr>
          <w:rFonts w:hint="eastAsia" w:ascii="宋体" w:hAnsi="宋体" w:cs="宋体"/>
          <w:bCs/>
          <w:sz w:val="24"/>
          <w:lang w:eastAsia="zh-CN"/>
        </w:rPr>
        <w:t>由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                   </w:t>
      </w:r>
      <w:r>
        <w:rPr>
          <w:rFonts w:hint="eastAsia" w:ascii="宋体" w:hAnsi="宋体" w:cs="宋体"/>
          <w:bCs/>
          <w:sz w:val="24"/>
          <w:lang w:eastAsia="zh-CN"/>
        </w:rPr>
        <w:t>组织竞争性磋商，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西安市鄠邑区教育局 </w:t>
      </w:r>
      <w:r>
        <w:rPr>
          <w:rFonts w:hint="eastAsia" w:ascii="宋体" w:hAnsi="宋体" w:cs="宋体"/>
          <w:bCs/>
          <w:sz w:val="24"/>
          <w:lang w:eastAsia="zh-CN"/>
        </w:rPr>
        <w:t>(以下简称“甲方”)确定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       </w:t>
      </w:r>
      <w:r>
        <w:rPr>
          <w:rFonts w:hint="eastAsia" w:ascii="宋体" w:hAnsi="宋体" w:cs="宋体"/>
          <w:bCs/>
          <w:sz w:val="24"/>
          <w:lang w:eastAsia="zh-CN"/>
        </w:rPr>
        <w:t>（以下简称“乙方”）为成交供应商。</w:t>
      </w:r>
    </w:p>
    <w:p w14:paraId="483F857E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依据《中华人民共和国民法典》和《中华人民共和国政府采购法》，经双方协商按下述条款和条件签署本合同。</w:t>
      </w:r>
    </w:p>
    <w:p w14:paraId="47F10438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一、合同价款</w:t>
      </w:r>
    </w:p>
    <w:p w14:paraId="043BC332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（一）合同总价款为人民币（大写）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        </w:t>
      </w:r>
      <w:r>
        <w:rPr>
          <w:rFonts w:hint="eastAsia" w:ascii="宋体" w:hAnsi="宋体" w:cs="宋体"/>
          <w:bCs/>
          <w:sz w:val="24"/>
          <w:lang w:eastAsia="zh-CN"/>
        </w:rPr>
        <w:t>（￥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      </w:t>
      </w:r>
      <w:r>
        <w:rPr>
          <w:rFonts w:hint="eastAsia" w:ascii="宋体" w:hAnsi="宋体" w:cs="宋体"/>
          <w:bCs/>
          <w:sz w:val="24"/>
          <w:lang w:eastAsia="zh-CN"/>
        </w:rPr>
        <w:t>）。</w:t>
      </w:r>
    </w:p>
    <w:p w14:paraId="03BC0965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（二）合同总价</w:t>
      </w:r>
      <w:r>
        <w:rPr>
          <w:rFonts w:hint="eastAsia" w:ascii="宋体" w:hAnsi="宋体" w:cs="宋体"/>
          <w:sz w:val="24"/>
          <w:lang w:eastAsia="zh-CN"/>
        </w:rPr>
        <w:t>包括但不限于</w:t>
      </w:r>
      <w:r>
        <w:rPr>
          <w:rFonts w:hint="eastAsia" w:ascii="宋体" w:hAnsi="宋体" w:cs="宋体"/>
          <w:sz w:val="24"/>
          <w:lang w:val="zh-CN" w:eastAsia="zh-CN"/>
        </w:rPr>
        <w:t>人员工资、</w:t>
      </w:r>
      <w:r>
        <w:rPr>
          <w:rFonts w:hint="eastAsia" w:ascii="宋体" w:hAnsi="宋体" w:cs="宋体"/>
          <w:sz w:val="24"/>
          <w:lang w:eastAsia="zh-CN"/>
        </w:rPr>
        <w:t>交通费、</w:t>
      </w:r>
      <w:r>
        <w:rPr>
          <w:rFonts w:hint="eastAsia" w:ascii="宋体" w:hAnsi="宋体" w:cs="宋体"/>
          <w:sz w:val="24"/>
          <w:lang w:val="zh-CN" w:eastAsia="zh-CN"/>
        </w:rPr>
        <w:t>管理费、利润、风险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zh-CN" w:eastAsia="zh-CN"/>
        </w:rPr>
        <w:t>其他费用</w:t>
      </w:r>
      <w:r>
        <w:rPr>
          <w:rFonts w:hint="eastAsia" w:ascii="宋体" w:hAnsi="宋体" w:cs="宋体"/>
          <w:bCs/>
          <w:sz w:val="24"/>
          <w:lang w:eastAsia="zh-CN"/>
        </w:rPr>
        <w:t>、税金等一切相关费用。</w:t>
      </w:r>
    </w:p>
    <w:p w14:paraId="5FC10BF5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（三）合同总价一次性包死，不受市场价格变化因素的影响。</w:t>
      </w:r>
    </w:p>
    <w:p w14:paraId="0BF48C8D">
      <w:pPr>
        <w:spacing w:line="360" w:lineRule="auto"/>
        <w:ind w:firstLine="480" w:firstLineChars="200"/>
        <w:rPr>
          <w:rFonts w:ascii="宋体" w:hAnsi="宋体" w:cs="宋体"/>
          <w:b/>
          <w:sz w:val="24"/>
          <w:lang w:eastAsia="zh-CN"/>
        </w:rPr>
      </w:pPr>
      <w:r>
        <w:rPr>
          <w:rFonts w:hint="eastAsia" w:ascii="宋体" w:hAnsi="宋体" w:cs="宋体"/>
          <w:b/>
          <w:sz w:val="24"/>
          <w:lang w:eastAsia="zh-CN"/>
        </w:rPr>
        <w:t>二、委托工作内容</w:t>
      </w:r>
    </w:p>
    <w:p w14:paraId="3FC0A8D5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1、投保范围：全区各级各类学校(公、民办)中小学及幼儿园学生(以2025年9月 1 日学生在校实际人数为准)，本次保险内容为：</w:t>
      </w:r>
    </w:p>
    <w:p w14:paraId="5D19C247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（1）校（园）方责任险每生每年保费10元；</w:t>
      </w:r>
    </w:p>
    <w:p w14:paraId="403F01E6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（2）校（园）方无过失责任险每生每年保费5元；</w:t>
      </w:r>
    </w:p>
    <w:p w14:paraId="33A44017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3）</w:t>
      </w:r>
      <w:r>
        <w:rPr>
          <w:rFonts w:hint="eastAsia" w:ascii="宋体" w:hAnsi="宋体" w:cs="宋体"/>
          <w:bCs/>
          <w:sz w:val="24"/>
          <w:lang w:eastAsia="zh-CN"/>
        </w:rPr>
        <w:t>食安险按照学校人数计算。</w:t>
      </w:r>
    </w:p>
    <w:p w14:paraId="3F3B8D8B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2、西安市鄠邑区教育局辖区公、民办中小学、幼儿园投保校方责任保险的，以本次磋商内容及报价为依据执行。</w:t>
      </w:r>
    </w:p>
    <w:p w14:paraId="6AB1E981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三、款项结算</w:t>
      </w:r>
    </w:p>
    <w:p w14:paraId="34459372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1.所有投保服务完成后，且经采购人核验合格后，各校单位统一向投保专户划拨保费。</w:t>
      </w:r>
    </w:p>
    <w:p w14:paraId="783473B2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2.供应商应于采购人每次付款前向采购人开具等额保单和发票。</w:t>
      </w:r>
    </w:p>
    <w:p w14:paraId="7BE90628">
      <w:pPr>
        <w:spacing w:line="360" w:lineRule="auto"/>
        <w:ind w:firstLine="480" w:firstLineChars="200"/>
        <w:rPr>
          <w:rFonts w:ascii="宋体" w:hAnsi="宋体" w:cs="宋体"/>
          <w:sz w:val="24"/>
          <w:lang w:val="zh-CN"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（三）货款支付方式：</w:t>
      </w:r>
      <w:r>
        <w:rPr>
          <w:rFonts w:hint="eastAsia" w:ascii="宋体" w:hAnsi="宋体" w:cs="宋体"/>
          <w:sz w:val="24"/>
          <w:lang w:val="zh-CN" w:eastAsia="zh-CN"/>
        </w:rPr>
        <w:t>由</w:t>
      </w:r>
      <w:r>
        <w:rPr>
          <w:rFonts w:hint="eastAsia" w:ascii="宋体" w:hAnsi="宋体" w:cs="宋体"/>
          <w:sz w:val="24"/>
          <w:lang w:eastAsia="zh-CN"/>
        </w:rPr>
        <w:t>甲方</w:t>
      </w:r>
      <w:r>
        <w:rPr>
          <w:rFonts w:hint="eastAsia" w:ascii="宋体" w:hAnsi="宋体" w:cs="宋体"/>
          <w:sz w:val="24"/>
          <w:lang w:val="zh-CN" w:eastAsia="zh-CN"/>
        </w:rPr>
        <w:t>负责结算，合同签订后，成交供应商在接受付款前，开具相应金额发票给甲方。</w:t>
      </w:r>
    </w:p>
    <w:p w14:paraId="359E2B9C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（四）最终款项以实际发生费用结算。</w:t>
      </w:r>
    </w:p>
    <w:p w14:paraId="0FFBDBE9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四、服务地点及</w:t>
      </w:r>
      <w:r>
        <w:rPr>
          <w:rFonts w:hint="eastAsia" w:ascii="宋体" w:hAnsi="宋体" w:cs="宋体"/>
          <w:b/>
          <w:sz w:val="24"/>
          <w:lang w:eastAsia="zh-CN"/>
        </w:rPr>
        <w:t>服务期</w:t>
      </w:r>
    </w:p>
    <w:p w14:paraId="4C30441F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（一）服务地点：甲方指定地点。</w:t>
      </w:r>
    </w:p>
    <w:p w14:paraId="28DFF377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（二）服务期：壹年，自2025 年9月 1日起生效，至 2026年8月31 日终止</w:t>
      </w:r>
    </w:p>
    <w:p w14:paraId="3C89D9A6">
      <w:pPr>
        <w:spacing w:line="360" w:lineRule="auto"/>
        <w:ind w:firstLine="480" w:firstLineChars="200"/>
        <w:rPr>
          <w:rFonts w:ascii="宋体" w:hAnsi="宋体" w:cs="宋体"/>
          <w:b/>
          <w:sz w:val="24"/>
          <w:lang w:eastAsia="zh-CN"/>
        </w:rPr>
      </w:pPr>
      <w:r>
        <w:rPr>
          <w:rFonts w:hint="eastAsia" w:ascii="宋体" w:hAnsi="宋体" w:cs="宋体"/>
          <w:b/>
          <w:sz w:val="24"/>
          <w:lang w:eastAsia="zh-CN"/>
        </w:rPr>
        <w:t>五、双方责任</w:t>
      </w:r>
    </w:p>
    <w:p w14:paraId="0F6F8375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（一）甲方的权利和义务</w:t>
      </w:r>
    </w:p>
    <w:p w14:paraId="4412E44A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23CCBAFC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2、甲方有权依据双方签订的考评办法对乙方提供的服务进行定期考评。</w:t>
      </w:r>
    </w:p>
    <w:p w14:paraId="002E0FB2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3、负责检查监督乙方管理工作的实施及制度的执行情况。</w:t>
      </w:r>
    </w:p>
    <w:p w14:paraId="021CD158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4、根据本合同规定，按时向乙方支付应付服务费用。</w:t>
      </w:r>
    </w:p>
    <w:p w14:paraId="2697E0DB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5、国家法律、法规所规定由甲方承担的其它责任。</w:t>
      </w:r>
    </w:p>
    <w:p w14:paraId="2B9A0924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（二）乙方的权利和义务</w:t>
      </w:r>
    </w:p>
    <w:p w14:paraId="4F5D6AA1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1、对本合同规定的委托服务范围内的项目享有管理权及服务义务。</w:t>
      </w:r>
    </w:p>
    <w:p w14:paraId="4DD07BB1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2、根据本合同的规定向甲方收取相关服务费用，并有权在本项目管理范围内管理及合理使用。</w:t>
      </w:r>
    </w:p>
    <w:p w14:paraId="52260553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3、及时向甲方通告本项目服务范围内有关服务的重大事项，及时配合处理投诉。</w:t>
      </w:r>
    </w:p>
    <w:p w14:paraId="17A71AB2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4、接受项目行业管理部门及政府有关部门的指导，接受甲方的监督。</w:t>
      </w:r>
    </w:p>
    <w:p w14:paraId="00B7D477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5、国家法律、法规所规定由乙方承担的其它责任。</w:t>
      </w:r>
    </w:p>
    <w:p w14:paraId="275E9CBE">
      <w:pPr>
        <w:spacing w:line="360" w:lineRule="auto"/>
        <w:ind w:firstLine="480" w:firstLineChars="200"/>
        <w:rPr>
          <w:rFonts w:ascii="宋体" w:hAnsi="宋体" w:cs="宋体"/>
          <w:b/>
          <w:sz w:val="24"/>
          <w:lang w:eastAsia="zh-CN"/>
        </w:rPr>
      </w:pPr>
      <w:r>
        <w:rPr>
          <w:rFonts w:hint="eastAsia" w:ascii="宋体" w:hAnsi="宋体" w:cs="宋体"/>
          <w:b/>
          <w:sz w:val="24"/>
          <w:lang w:eastAsia="zh-CN"/>
        </w:rPr>
        <w:t>六、业务管理</w:t>
      </w:r>
    </w:p>
    <w:p w14:paraId="73AFF1C0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1、根据采购人的要求及时报送《西安市鄠邑区教育局校（园）方责任保险情况汇总表》、《西安市鄠邑区教育局校方责任保险赔款情况汇总表》，承诺统计填报的承保情况数据资料准确、完整，无隐瞒；</w:t>
      </w:r>
    </w:p>
    <w:p w14:paraId="3FDA3817">
      <w:pPr>
        <w:spacing w:line="360" w:lineRule="auto"/>
        <w:ind w:firstLine="480" w:firstLineChars="200"/>
        <w:rPr>
          <w:rFonts w:ascii="宋体" w:hAnsi="宋体" w:cs="宋体"/>
          <w:b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2、按照要求，为被保险学校建立专门的档案，执行业务管理所需的相关手续，开展跟踪服务。</w:t>
      </w:r>
    </w:p>
    <w:p w14:paraId="31A6AACA">
      <w:pPr>
        <w:spacing w:line="360" w:lineRule="auto"/>
        <w:ind w:firstLine="480" w:firstLineChars="200"/>
        <w:rPr>
          <w:rFonts w:ascii="宋体" w:hAnsi="宋体" w:cs="宋体"/>
          <w:b/>
          <w:sz w:val="24"/>
          <w:lang w:eastAsia="zh-CN"/>
        </w:rPr>
      </w:pPr>
      <w:r>
        <w:rPr>
          <w:rFonts w:hint="eastAsia" w:ascii="宋体" w:hAnsi="宋体" w:cs="宋体"/>
          <w:b/>
          <w:sz w:val="24"/>
          <w:lang w:eastAsia="zh-CN"/>
        </w:rPr>
        <w:t>七、技术服务</w:t>
      </w:r>
    </w:p>
    <w:p w14:paraId="61F2D874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（一）技术资料：</w:t>
      </w:r>
    </w:p>
    <w:p w14:paraId="3C66C883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1.实施方案；</w:t>
      </w:r>
    </w:p>
    <w:p w14:paraId="4E27126B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2.其它资料。</w:t>
      </w:r>
    </w:p>
    <w:p w14:paraId="4BFA81FD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（二）服务承诺：磋商响应文件有明确的服务承诺。</w:t>
      </w:r>
    </w:p>
    <w:p w14:paraId="6459AF0F">
      <w:pPr>
        <w:spacing w:line="360" w:lineRule="auto"/>
        <w:ind w:firstLine="480" w:firstLineChars="200"/>
        <w:rPr>
          <w:rFonts w:ascii="宋体" w:hAnsi="宋体" w:cs="宋体"/>
          <w:b/>
          <w:sz w:val="24"/>
          <w:lang w:eastAsia="zh-CN"/>
        </w:rPr>
      </w:pPr>
      <w:r>
        <w:rPr>
          <w:rFonts w:hint="eastAsia" w:ascii="宋体" w:hAnsi="宋体" w:cs="宋体"/>
          <w:b/>
          <w:sz w:val="24"/>
          <w:lang w:eastAsia="zh-CN"/>
        </w:rPr>
        <w:t>八、其它事项</w:t>
      </w:r>
    </w:p>
    <w:p w14:paraId="5F9DBEB8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（一）乙方不得将项目转让、分包给其它单位或个人。</w:t>
      </w:r>
    </w:p>
    <w:p w14:paraId="41AA84BE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（二）乙方的磋商响应文件和承诺等内容将列入合同。</w:t>
      </w:r>
    </w:p>
    <w:p w14:paraId="45B33614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九、违约责任</w:t>
      </w:r>
    </w:p>
    <w:p w14:paraId="072E7AEE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（一）按《民法典》中的相关条款执行。</w:t>
      </w:r>
    </w:p>
    <w:p w14:paraId="1D2EB1E3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二）按合同要求提供服务或服务质量不能满足采购技术要求，乙方必须无条件提高技术，完善服务质量，否则，甲方会同监督机构、采购代理机构有权终止合同并对乙方违约行为进行追究，同时按政府采购供应商管理办法进行相应的处罚。</w:t>
      </w:r>
    </w:p>
    <w:p w14:paraId="236B1880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5E97A178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十、合同争议解决的方式</w:t>
      </w:r>
    </w:p>
    <w:p w14:paraId="7A1A508E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本合同在履行过程中发生的争议，由甲、乙双方当事人协商解决，协商不成的按下列第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>（二）</w:t>
      </w:r>
      <w:r>
        <w:rPr>
          <w:rFonts w:hint="eastAsia" w:ascii="宋体" w:hAnsi="宋体" w:cs="宋体"/>
          <w:bCs/>
          <w:sz w:val="24"/>
          <w:lang w:eastAsia="zh-CN"/>
        </w:rPr>
        <w:t>种方式解决：</w:t>
      </w:r>
    </w:p>
    <w:p w14:paraId="5E91613A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（一）提交西安仲裁委员会仲裁；</w:t>
      </w:r>
    </w:p>
    <w:p w14:paraId="0A4BE1D7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（二）依法向甲方所在地人民法院起诉。</w:t>
      </w:r>
    </w:p>
    <w:p w14:paraId="1C239A92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十一、合同生效</w:t>
      </w:r>
    </w:p>
    <w:p w14:paraId="1CEDA5FD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（一）本合同经双方签字盖章后生效。</w:t>
      </w:r>
    </w:p>
    <w:p w14:paraId="6405914E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（二）本合同须经甲、乙双方的法定代表人（、单位负责人、授权代理人）在合同书上签字并加盖本单位公章后正式生效。</w:t>
      </w:r>
    </w:p>
    <w:p w14:paraId="44A45898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（三）合同生效后，甲、乙双方须严格执行本合同条款的规定，全面履行合同，违者按《中华人民共和国民法典》的有关规定承担相应责任。</w:t>
      </w:r>
    </w:p>
    <w:p w14:paraId="6FE79156">
      <w:pPr>
        <w:spacing w:line="360" w:lineRule="auto"/>
        <w:ind w:firstLine="480" w:firstLineChars="200"/>
        <w:rPr>
          <w:rFonts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（四）本合同一式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cs="宋体"/>
          <w:bCs/>
          <w:sz w:val="24"/>
          <w:lang w:eastAsia="zh-CN"/>
        </w:rPr>
        <w:t>份，甲乙双方各执</w:t>
      </w:r>
      <w:r>
        <w:rPr>
          <w:rFonts w:hint="eastAsia" w:ascii="宋体" w:hAnsi="宋体" w:cs="宋体"/>
          <w:bCs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cs="宋体"/>
          <w:bCs/>
          <w:sz w:val="24"/>
          <w:lang w:eastAsia="zh-CN"/>
        </w:rPr>
        <w:t>份。</w:t>
      </w:r>
    </w:p>
    <w:p w14:paraId="21BF9372">
      <w:pPr>
        <w:spacing w:line="360" w:lineRule="auto"/>
        <w:ind w:firstLine="480" w:firstLineChars="200"/>
        <w:rPr>
          <w:rFonts w:ascii="宋体" w:hAnsi="宋体" w:cs="宋体"/>
          <w:spacing w:val="-20"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eastAsia="zh-CN"/>
        </w:rPr>
        <w:t>（五）本合同如有未尽事宜，甲、乙双方协商解决。</w:t>
      </w:r>
    </w:p>
    <w:tbl>
      <w:tblPr>
        <w:tblStyle w:val="4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4536"/>
      </w:tblGrid>
      <w:tr w14:paraId="7FED0FD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4D8831FD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甲  方</w:t>
            </w:r>
          </w:p>
        </w:tc>
        <w:tc>
          <w:tcPr>
            <w:tcW w:w="4536" w:type="dxa"/>
            <w:vAlign w:val="center"/>
          </w:tcPr>
          <w:p w14:paraId="7CF28BE0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乙  方</w:t>
            </w:r>
          </w:p>
        </w:tc>
      </w:tr>
      <w:tr w14:paraId="720C563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448510CE">
            <w:pPr>
              <w:ind w:firstLine="700" w:firstLineChars="350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（盖章）</w:t>
            </w:r>
          </w:p>
        </w:tc>
        <w:tc>
          <w:tcPr>
            <w:tcW w:w="4536" w:type="dxa"/>
            <w:vAlign w:val="center"/>
          </w:tcPr>
          <w:p w14:paraId="3FE2921E">
            <w:pPr>
              <w:ind w:firstLine="800" w:firstLineChars="400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（盖章）</w:t>
            </w:r>
          </w:p>
        </w:tc>
      </w:tr>
      <w:tr w14:paraId="54905F4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5E54B3EE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 xml:space="preserve">地址： </w:t>
            </w:r>
          </w:p>
        </w:tc>
        <w:tc>
          <w:tcPr>
            <w:tcW w:w="4536" w:type="dxa"/>
            <w:vAlign w:val="center"/>
          </w:tcPr>
          <w:p w14:paraId="7287889A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地址：</w:t>
            </w:r>
          </w:p>
        </w:tc>
      </w:tr>
      <w:tr w14:paraId="60178E0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41A4E16B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邮编：</w:t>
            </w:r>
          </w:p>
        </w:tc>
        <w:tc>
          <w:tcPr>
            <w:tcW w:w="4536" w:type="dxa"/>
            <w:vAlign w:val="center"/>
          </w:tcPr>
          <w:p w14:paraId="6D68948B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邮编：</w:t>
            </w:r>
          </w:p>
        </w:tc>
      </w:tr>
      <w:tr w14:paraId="7F69FC3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02B1AF24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 xml:space="preserve">法定代表人： </w:t>
            </w:r>
          </w:p>
        </w:tc>
        <w:tc>
          <w:tcPr>
            <w:tcW w:w="4536" w:type="dxa"/>
            <w:vAlign w:val="center"/>
          </w:tcPr>
          <w:p w14:paraId="7598BBCF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法定代表人：</w:t>
            </w:r>
          </w:p>
        </w:tc>
      </w:tr>
      <w:tr w14:paraId="7488EB0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1FFCEEA5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被授权代表：</w:t>
            </w:r>
          </w:p>
        </w:tc>
        <w:tc>
          <w:tcPr>
            <w:tcW w:w="4536" w:type="dxa"/>
            <w:vAlign w:val="center"/>
          </w:tcPr>
          <w:p w14:paraId="455BF9BF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被授权代表：</w:t>
            </w:r>
          </w:p>
        </w:tc>
      </w:tr>
      <w:tr w14:paraId="1AF699E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43AC5E4E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电话：</w:t>
            </w:r>
          </w:p>
        </w:tc>
        <w:tc>
          <w:tcPr>
            <w:tcW w:w="4536" w:type="dxa"/>
            <w:vAlign w:val="center"/>
          </w:tcPr>
          <w:p w14:paraId="46AAA130">
            <w:pPr>
              <w:ind w:left="600" w:hanging="600" w:hangingChars="300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电话：</w:t>
            </w:r>
          </w:p>
        </w:tc>
      </w:tr>
      <w:tr w14:paraId="2507FCA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017A5F14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传真：</w:t>
            </w:r>
          </w:p>
        </w:tc>
        <w:tc>
          <w:tcPr>
            <w:tcW w:w="4536" w:type="dxa"/>
            <w:vAlign w:val="center"/>
          </w:tcPr>
          <w:p w14:paraId="4E9E2BED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传真：</w:t>
            </w:r>
          </w:p>
        </w:tc>
      </w:tr>
      <w:tr w14:paraId="61A4B4B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3E73E0D7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开户银行：</w:t>
            </w:r>
          </w:p>
        </w:tc>
        <w:tc>
          <w:tcPr>
            <w:tcW w:w="4536" w:type="dxa"/>
            <w:vAlign w:val="center"/>
          </w:tcPr>
          <w:p w14:paraId="7E8579F5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开户银行：</w:t>
            </w:r>
          </w:p>
        </w:tc>
      </w:tr>
      <w:tr w14:paraId="36DF21A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5" w:type="dxa"/>
            <w:vAlign w:val="center"/>
          </w:tcPr>
          <w:p w14:paraId="06B6F043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日期：</w:t>
            </w:r>
          </w:p>
        </w:tc>
        <w:tc>
          <w:tcPr>
            <w:tcW w:w="4536" w:type="dxa"/>
            <w:vAlign w:val="center"/>
          </w:tcPr>
          <w:p w14:paraId="332BEAE5">
            <w:pPr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日期：</w:t>
            </w:r>
          </w:p>
        </w:tc>
      </w:tr>
    </w:tbl>
    <w:p w14:paraId="291A713D">
      <w:pPr>
        <w:rPr>
          <w:rFonts w:ascii="宋体" w:hAnsi="宋体" w:cs="宋体"/>
          <w:sz w:val="24"/>
        </w:rPr>
      </w:pPr>
    </w:p>
    <w:p w14:paraId="7676F0C5">
      <w:pPr>
        <w:pStyle w:val="3"/>
        <w:rPr>
          <w:rFonts w:ascii="宋体" w:hAnsi="宋体" w:cs="宋体"/>
          <w:sz w:val="24"/>
        </w:rPr>
      </w:pPr>
    </w:p>
    <w:p w14:paraId="4BFFBDEF">
      <w:pPr>
        <w:rPr>
          <w:rFonts w:ascii="宋体" w:hAnsi="宋体" w:cs="宋体"/>
          <w:sz w:val="24"/>
        </w:rPr>
      </w:pPr>
    </w:p>
    <w:p w14:paraId="2D266A25">
      <w:pPr>
        <w:pStyle w:val="3"/>
        <w:rPr>
          <w:rFonts w:ascii="宋体" w:hAnsi="宋体" w:cs="宋体"/>
          <w:sz w:val="24"/>
        </w:rPr>
      </w:pPr>
    </w:p>
    <w:p w14:paraId="6DC94135">
      <w:pPr>
        <w:spacing w:line="360" w:lineRule="auto"/>
        <w:ind w:right="1" w:firstLine="480" w:firstLineChars="200"/>
        <w:jc w:val="both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eastAsia="zh-CN"/>
        </w:rPr>
      </w:pPr>
    </w:p>
    <w:p w14:paraId="709D7113">
      <w:bookmarkStart w:id="0" w:name="_GoBack"/>
      <w:bookmarkEnd w:id="0"/>
    </w:p>
    <w:sectPr>
      <w:footerReference r:id="rId3" w:type="default"/>
      <w:pgSz w:w="11900" w:h="16840"/>
      <w:pgMar w:top="1440" w:right="1800" w:bottom="1440" w:left="1800" w:header="0" w:footer="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57FEC">
    <w:pPr>
      <w:pStyle w:val="3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67335" cy="131445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3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25E1A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0.35pt;width:21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J1zE/SAAAAAwEAAA8AAAAAAAAAAQAgAAAAIgAAAGRycy9kb3ducmV2LnhtbFBLAQIUABQA&#10;AAAIAIdO4kBjysVmLwIAAFQEAAAOAAAAAAAAAAEAIAAAACE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25E1A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7F7D1C0E67A9452C899AD67B8EC588E3_12</vt:lpwstr>
  </property>
</Properties>
</file>