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版本号：YYZB-2025-01320250711001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农村水质检测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YYZB-2025-013</w:t>
      </w:r>
      <w:r>
        <w:br/>
      </w:r>
      <w:r>
        <w:br/>
      </w:r>
      <w:r>
        <w:br/>
      </w:r>
    </w:p>
    <w:p>
      <w:pPr>
        <w:pStyle w:val="null3"/>
        <w:jc w:val="center"/>
        <w:outlineLvl w:val="2"/>
      </w:pPr>
      <w:r>
        <w:rPr>
          <w:rFonts w:ascii="仿宋_GB2312" w:hAnsi="仿宋_GB2312" w:cs="仿宋_GB2312" w:eastAsia="仿宋_GB2312"/>
          <w:sz w:val="28"/>
          <w:b/>
        </w:rPr>
        <w:t>西安市鄠邑区农村供水管理中心</w:t>
      </w:r>
    </w:p>
    <w:p>
      <w:pPr>
        <w:pStyle w:val="null3"/>
        <w:jc w:val="center"/>
        <w:outlineLvl w:val="2"/>
      </w:pPr>
      <w:r>
        <w:rPr>
          <w:rFonts w:ascii="仿宋_GB2312" w:hAnsi="仿宋_GB2312" w:cs="仿宋_GB2312" w:eastAsia="仿宋_GB2312"/>
          <w:sz w:val="28"/>
          <w:b/>
        </w:rPr>
        <w:t>耀阳项目管理（陕西）有限公司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耀阳项目管理（陕西）有限公司</w:t>
      </w:r>
      <w:r>
        <w:rPr>
          <w:rFonts w:ascii="仿宋_GB2312" w:hAnsi="仿宋_GB2312" w:cs="仿宋_GB2312" w:eastAsia="仿宋_GB2312"/>
        </w:rPr>
        <w:t>（以下简称“代理机构”）受</w:t>
      </w:r>
      <w:r>
        <w:rPr>
          <w:rFonts w:ascii="仿宋_GB2312" w:hAnsi="仿宋_GB2312" w:cs="仿宋_GB2312" w:eastAsia="仿宋_GB2312"/>
        </w:rPr>
        <w:t>西安市鄠邑区农村供水管理中心</w:t>
      </w:r>
      <w:r>
        <w:rPr>
          <w:rFonts w:ascii="仿宋_GB2312" w:hAnsi="仿宋_GB2312" w:cs="仿宋_GB2312" w:eastAsia="仿宋_GB2312"/>
        </w:rPr>
        <w:t>委托，拟对</w:t>
      </w:r>
      <w:r>
        <w:rPr>
          <w:rFonts w:ascii="仿宋_GB2312" w:hAnsi="仿宋_GB2312" w:cs="仿宋_GB2312" w:eastAsia="仿宋_GB2312"/>
        </w:rPr>
        <w:t>农村水质检测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YYZB-2025-013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农村水质检测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全年的主要检测任务为:千吨万人的大型集中供水，每季分别对出厂水、井源水、管网水进行常规多项检测，集中供水7个，全年共检测水样56个;千吨万人以下单村联村238个，共252处水源，分别进行最少一次的常规多项检测;全年对城区供水和二次供水分别抽检10次;水质投诉、突发性水质污染等临时性水质检测20次，共计需检测水样348个。</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采购包1（农村水质检测）：属于专门面向中小企业采购。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财务状况报告：提供2024年度经审计的财务报告（成立时间至提交响应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3、社保缴纳证明：提供响应时间前一年内已缴存的至少一个月的社会保障资金缴存单据或社保机构开具的社会保险参保缴费情况证明，依法不需要缴纳社会保障资金的单位应提供相关证明材料。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5、书面声明：出具履行合同所必需的设备和专业技术能力的书面声明；</w:t>
      </w:r>
    </w:p>
    <w:p>
      <w:pPr>
        <w:pStyle w:val="null3"/>
      </w:pPr>
      <w:r>
        <w:rPr>
          <w:rFonts w:ascii="仿宋_GB2312" w:hAnsi="仿宋_GB2312" w:cs="仿宋_GB2312" w:eastAsia="仿宋_GB2312"/>
        </w:rPr>
        <w:t>6、信用记录：供应商未被列入“信用中国”网站记录的“ 失信被执行人”或“重大税收违法案件当事人”名单；不处于“中国政府采购网”记录的“政府采购 严重违法失信行为记录名单”中的禁止参加政府 采购活动期间。</w:t>
      </w:r>
    </w:p>
    <w:p>
      <w:pPr>
        <w:pStyle w:val="null3"/>
      </w:pPr>
      <w:r>
        <w:rPr>
          <w:rFonts w:ascii="仿宋_GB2312" w:hAnsi="仿宋_GB2312" w:cs="仿宋_GB2312" w:eastAsia="仿宋_GB2312"/>
        </w:rPr>
        <w:t>7、法定代表人授权委托书：法定代表人参加磋商的，须提供法定代表人身份证明；法定代表人授权他人参加磋商的，须提供法定代表人授权委托书。（法人参加只需提供法定代表人身份证明）。</w:t>
      </w:r>
    </w:p>
    <w:p>
      <w:pPr>
        <w:pStyle w:val="null3"/>
      </w:pPr>
      <w:r>
        <w:rPr>
          <w:rFonts w:ascii="仿宋_GB2312" w:hAnsi="仿宋_GB2312" w:cs="仿宋_GB2312" w:eastAsia="仿宋_GB2312"/>
        </w:rPr>
        <w:t>8、资质证书：供应商须提供CMA检验检测机构资质认定证书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西安市鄠邑区农村供水管理中心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西安市鄠邑区水务局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西安市鄠邑区农村供水管理中心经办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84858566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耀阳项目管理（陕西）有限公司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陕西省西安市雁塔区科技六路高新时代广场B座706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孟凡博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02981325677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代理服务费收费标准：招标代理服务费依据国家计委颁发的《招 标代理服务收费管理暂行办法》（计价格[2002]1980 号） 文件标准收取，由成交供应商在领取中标通知书之前，向采购代理机构一次支付全额招标代理服务费。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西安市鄠邑区农村供水管理中心</w:t>
      </w:r>
      <w:r>
        <w:rPr>
          <w:rFonts w:ascii="仿宋_GB2312" w:hAnsi="仿宋_GB2312" w:cs="仿宋_GB2312" w:eastAsia="仿宋_GB2312"/>
        </w:rPr>
        <w:t>和</w:t>
      </w:r>
      <w:r>
        <w:rPr>
          <w:rFonts w:ascii="仿宋_GB2312" w:hAnsi="仿宋_GB2312" w:cs="仿宋_GB2312" w:eastAsia="仿宋_GB2312"/>
        </w:rPr>
        <w:t>耀阳项目管理（陕西）有限公司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西安市鄠邑区农村供水管理中心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耀阳项目管理（陕西）有限公司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西安市鄠邑区农村供水管理中心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耀阳项目管理（陕西）有限公司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耀阳项目管理（陕西）有限公司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联系人：孟凡博</w:t>
      </w:r>
    </w:p>
    <w:p>
      <w:pPr>
        <w:pStyle w:val="null3"/>
      </w:pPr>
      <w:r>
        <w:rPr>
          <w:rFonts w:ascii="仿宋_GB2312" w:hAnsi="仿宋_GB2312" w:cs="仿宋_GB2312" w:eastAsia="仿宋_GB2312"/>
        </w:rPr>
        <w:t>联系电话：02981325677</w:t>
      </w:r>
    </w:p>
    <w:p>
      <w:pPr>
        <w:pStyle w:val="null3"/>
      </w:pPr>
      <w:r>
        <w:rPr>
          <w:rFonts w:ascii="仿宋_GB2312" w:hAnsi="仿宋_GB2312" w:cs="仿宋_GB2312" w:eastAsia="仿宋_GB2312"/>
        </w:rPr>
        <w:t>地址：陕西省西安市雁塔区科技六路高新时代广场B座706</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全年的主要检测任务为:千吨万人的大型集中供水，每季分别对出厂水、井源水、管网水进行常规多项检测，集中供水7个，全年共检测水样56个;千吨万人以下单村联村238个，共252处水源，分别进行最少一次的常规多项检测;全年对城区供水和二次供水分别抽检10次;水质投诉、突发性水质污染等临时性水质检测20次，共计需检测水样348个。</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C12990000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标的名称：C12990000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2025年全年的主要检测任务为:千吨万人的大型集中供水，每季分别对出厂水、井源水、管网水进行常规多项检测，集中供水7个，全年共检测水样56个;千吨万人以下单村联村238个，共252处水源，分别进行最少一次的常规多项检测;全年对城区供水和二次供水分别抽检10次;水质投诉、突发性水质污染等临时性水质检测20次，共计需检测水样348个。</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有完善的项目人员组织方案，人员设置及人员分工安排合理、职责划分明确，具备能承担检验检测任务的专业人员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供应商投入的设备、工具、机具配置专业合理，满足服务要求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鄠邑区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 </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方案通过评审后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成立时间至提交响应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 失信被执行人”或“重大税收违法案件当事人”名单；不处于“中国政府采购网”记录的“政府采购 严重违法失信行为记录名单”中的禁止参加政府 采购活动期间。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法定代表人参加磋商的，须提供法定代表人身份证明；法定代表人授权他人参加磋商的，须提供法定代表人授权委托书。（法人参加只需提供法定代表人身份证明）。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供应商须提供CMA检验检测机构资质认定证书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服务整体方案详细、合理、针对性强、内容全面与项目 实际结合紧密，对项目具有高度指导性，且工作依据、执行标准、规范规程明确，服务内容完整，技术方法、方案具体详细、切实可行，工作思路清晰、计划科学合理、安排紧凑得当得 8-12分；服务整体方案较为详细、内容基本全面，得 4-8 分；服务标准缺失或者描述不详细不具体，得 0-4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优良标准：具有详细的样品采集、存储与运输方案，包括样品检测的时效性保障措施及可提供的各种便利化服务等。方案及措施合理可行，并具有较强的可实施性，满足样品进入实验室实施检测的时间≤6 小时，微生物样 品进入实验室实施检测的时间≤4 小时；得 8-12 分；一般标准：提供的样品采集、存储与运输方案，包括样品检测的时效性保障措施及可提供的各种便利化服务等。方案及措施基本满足项目需要，可实施性一般，样品进入实验室实施检测的时间在＞6～≤10 小时之间，微生物样品进入实验室实施检测的时间在＞4～≤6 小时之 间；得 4-8 分； 差标准：提供的样品采集、存储与运输方案，包括样品 检测的时效性保障措施及可提供的各种便利化服务等。方案及措施缺失，不满足项目需要，无可实施性，样品 进入实验室实施检测的时间＞10 小时，微生物样品进入 实验室实施检测的时间＞6 小时。得 0-4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优良标准：根据本项目采购服务内容及要求编制，方案 应包含检测方案、检测进度保证措施、检测结果质量保 证措施、预防性管理方法、报告送达时间等内容，内容 全面详尽，具有较强的可实施性，完全满足采购需求。 得 10-15 分； 一般标准：根据本项目采购服务内容及要求编制，方案 应包含检测方案、检测进度保证措施、检测结果质量保 证措施、预防性管理方法、报告送达时间等内容，内容 不全（缺少 1 项方案内容），可实施性一般，基本满足 采购需求。得 5-10 分； 差标准：根据本项目采购服务内容及要求编制，方案应 包含检测方案、检测进度保证措施、检测结果质量保证 措施、预防性管理方法、报告送达时间等内容，内容不 全（缺少 2 项及以上方案内容），可实施性差，不满足 采购需求。得 0-5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应急检测方案</w:t>
            </w:r>
          </w:p>
        </w:tc>
        <w:tc>
          <w:tcPr>
            <w:tcW w:type="dxa" w:w="2492"/>
          </w:tcPr>
          <w:p>
            <w:pPr>
              <w:pStyle w:val="null3"/>
            </w:pPr>
            <w:r>
              <w:rPr>
                <w:rFonts w:ascii="仿宋_GB2312" w:hAnsi="仿宋_GB2312" w:cs="仿宋_GB2312" w:eastAsia="仿宋_GB2312"/>
              </w:rPr>
              <w:t>优良标准：有应急检测方案，可应对随时可能发生的风 险并提出解决措施，措施合理可行。得 5-10分 一般标准：有应急检测方案，对可能发生的风险提出解 决措施基本可行。得 2-5 分； 差标准：无应急检测方案或应急检测方案不可行。得 0-2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项目人员组织安排</w:t>
            </w:r>
          </w:p>
        </w:tc>
        <w:tc>
          <w:tcPr>
            <w:tcW w:type="dxa" w:w="2492"/>
          </w:tcPr>
          <w:p>
            <w:pPr>
              <w:pStyle w:val="null3"/>
            </w:pPr>
            <w:r>
              <w:rPr>
                <w:rFonts w:ascii="仿宋_GB2312" w:hAnsi="仿宋_GB2312" w:cs="仿宋_GB2312" w:eastAsia="仿宋_GB2312"/>
              </w:rPr>
              <w:t>优良标准：有完善的项目人员组织方案，人员设置及人 员分工安排合理、职责划分明确，具备能承担检验检测 任务的专业人员，完全满足采购需求；得 8-12 分； 一般标准：项目人员组织方案基本可行，人员设置及人 员分工安排不够清晰、职责划分不够明确，承担检验检 测任务的专业人员基本满足采购需求；4-8 分； 差标准：项目人员组织方案不可行，人员设置及人员分 工安排不清晰、职责划分不明确，承担检验检测任务的 专业人员不满足采购需求；得 0-4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检测能力</w:t>
            </w:r>
          </w:p>
        </w:tc>
        <w:tc>
          <w:tcPr>
            <w:tcW w:type="dxa" w:w="2492"/>
          </w:tcPr>
          <w:p>
            <w:pPr>
              <w:pStyle w:val="null3"/>
            </w:pPr>
            <w:r>
              <w:rPr>
                <w:rFonts w:ascii="仿宋_GB2312" w:hAnsi="仿宋_GB2312" w:cs="仿宋_GB2312" w:eastAsia="仿宋_GB2312"/>
              </w:rPr>
              <w:t>（1）供应商投入的设备、工具、机具配置专业合理，满 足服务要求检测设备（注：相关仪器应提供实物图片及检 定校准合格证书等证明资料的复印件加盖供应商公章）。 得 4-8 分；设备、工具、机具配置能满足项目最低要求， 得 0-4 分。 （2）检测项目质量保障：供应商有完整、可行、合理的 服务质量保障措施并且服务质量目标明确，管理体系健 全，预控和动态控制措施完整，得 5-10 分；质量目标基 本明确，控制措施基本全面，得 0-5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供应商具有完整的考核的措施与承诺，并且在项目实施 阶段及完成后所承诺的责任、服务内容，并针对本项目 实际需求提供实质性服务承诺，确有利于本次招标，服 务内容全面合理，实施性强计 4-8分，内容不全面、实施 性不强计 0-4 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 2022年 1 月 1 日以来承接过类似项目业绩，每个得 1 分， 满分3分。（以合同复印件或中标/成交通知书复印件加盖公章为准）。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有效供应商最低报价作为基准价，各供应商的报价得分按下列公式计算：（基准价/投标报价）×10%×100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详见附件：检测合同.docx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