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版本号：SXWXZBDL2025-ZC-CS100720250722001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星耀秦岭项目仲裁律师服务费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SXWXZBDL2025-ZC-CS1007</w:t>
      </w:r>
      <w:r>
        <w:br/>
      </w:r>
      <w:r>
        <w:br/>
      </w:r>
      <w:r>
        <w:br/>
      </w:r>
    </w:p>
    <w:p>
      <w:pPr>
        <w:pStyle w:val="null3"/>
        <w:jc w:val="center"/>
        <w:outlineLvl w:val="2"/>
      </w:pPr>
      <w:r>
        <w:rPr>
          <w:rFonts w:ascii="仿宋_GB2312" w:hAnsi="仿宋_GB2312" w:cs="仿宋_GB2312" w:eastAsia="仿宋_GB2312"/>
          <w:sz w:val="28"/>
          <w:b/>
        </w:rPr>
        <w:t>西安市鄠邑区河湖生态管理服务中心</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西安市鄠邑区河湖生态管理服务中心</w:t>
      </w:r>
      <w:r>
        <w:rPr>
          <w:rFonts w:ascii="仿宋_GB2312" w:hAnsi="仿宋_GB2312" w:cs="仿宋_GB2312" w:eastAsia="仿宋_GB2312"/>
        </w:rPr>
        <w:t>委托，拟对</w:t>
      </w:r>
      <w:r>
        <w:rPr>
          <w:rFonts w:ascii="仿宋_GB2312" w:hAnsi="仿宋_GB2312" w:cs="仿宋_GB2312" w:eastAsia="仿宋_GB2312"/>
        </w:rPr>
        <w:t>星耀秦岭项目仲裁律师服务费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星耀秦岭项目仲裁律师服务费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聘请第三方为我单位提供法律服务，包括但不限于案件研究、调查取证、阅卷、出具法律文书、出庭等。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采购包1（星耀秦岭项目仲裁律师服务费）：属于专门面向中小企业采购。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供应商应提供健全的财务会计制度的证明材料：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3、纳税证明：提供磋商截止日前一年内任意一个月的纳税证明或完税证明（增值税、印花税、城市维护建设费、企业所得税等一种或多种税种），依法免税的单位提供相关证明材料；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4、社保缴纳证明：提供磋商截止日前一年内任意一个月的社保资金交纳证明，依法不需要缴纳社保资金的单位提供相关证明材料；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10、资质证书：供应商具有合法有效的《律师事务所执业许可证》；</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西安市鄠邑区河湖生态管理服务中心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西安市鄠邑区甘亭街道政兴路1号滨河商务中心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029-89029042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张小娜、董雪、李玉萍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¥8500.00元（人民币捌仟伍佰元整）。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西安市鄠邑区河湖生态管理服务中心</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西安市鄠邑区河湖生态管理服务中心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西安市鄠邑区河湖生态管理服务中心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申请人再次向西安仲裁委申请仲裁，也就启动了本案的诉讼程序。在本次案件中，申请人认为政府没有按照约定将已征地交给申请人，也没有履行项目用地的征收出让等各项合同义务。申请人因此主张政府构成违约，共提出了6项申请，包括请求政府向其返还项目征地及补偿款、请求政府向其支付代建工程的工程款、项目前期费用、首次仲裁的仲裁费，请求政府向其赔偿损失，向其支付为维权而产生的律师费等。上述6项申请的总金额合计12亿多。现需聘请第三方为我单位提供法律服务，包括但不限于案件研究、调查取证、阅卷、出具法律文书、出庭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星耀秦岭项目仲裁律师服务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标的名称：星耀秦岭项目仲裁律师服务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服务内容：包括但不限于案件研究、调查取证、阅卷、出具法律文书、出庭等。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技术要求：满足国家、省市相关规范要求（以最新版为准）。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服务要求：1.</w:t>
            </w:r>
            <w:r>
              <w:rPr>
                <w:rFonts w:ascii="仿宋_GB2312" w:hAnsi="仿宋_GB2312" w:cs="仿宋_GB2312" w:eastAsia="仿宋_GB2312"/>
                <w:sz w:val="24"/>
              </w:rPr>
              <w:t>由于本案相关项目的时间跨度长达</w:t>
            </w:r>
            <w:r>
              <w:rPr>
                <w:rFonts w:ascii="仿宋_GB2312" w:hAnsi="仿宋_GB2312" w:cs="仿宋_GB2312" w:eastAsia="仿宋_GB2312"/>
                <w:sz w:val="24"/>
              </w:rPr>
              <w:t>13年，积累的文本资料非常多，需组建专项处理本案的律师工作组，立即启动本案基础资料的收集和整理工作，必要时需到我河湖中心驻场收集、整理案件的相关资料</w:t>
            </w:r>
            <w:r>
              <w:rPr>
                <w:rFonts w:ascii="仿宋_GB2312" w:hAnsi="仿宋_GB2312" w:cs="仿宋_GB2312" w:eastAsia="仿宋_GB2312"/>
                <w:sz w:val="24"/>
              </w:rPr>
              <w:t>；</w:t>
            </w:r>
          </w:p>
          <w:p>
            <w:pPr>
              <w:pStyle w:val="null3"/>
            </w:pPr>
            <w:r>
              <w:rPr>
                <w:rFonts w:ascii="仿宋_GB2312" w:hAnsi="仿宋_GB2312" w:cs="仿宋_GB2312" w:eastAsia="仿宋_GB2312"/>
                <w:sz w:val="24"/>
              </w:rPr>
              <w:t>2.对案涉项目历时十多年间积累的相关资料逐一翻阅和收集。进行筛选和审查，力争相关证据材料无遗漏。结合我方的证明目的、待证事实，撰写并制作本案的证据目录，并将相关证据材料进行组织和排列。撰写并制作答辩状，对答辩状的内容不断完善和充实，形成答辩意见。</w:t>
            </w:r>
          </w:p>
          <w:p>
            <w:pPr>
              <w:pStyle w:val="null3"/>
              <w:jc w:val="both"/>
            </w:pPr>
            <w:r>
              <w:rPr>
                <w:rFonts w:ascii="仿宋_GB2312" w:hAnsi="仿宋_GB2312" w:cs="仿宋_GB2312" w:eastAsia="仿宋_GB2312"/>
                <w:sz w:val="24"/>
              </w:rPr>
              <w:t>3.项目服务单位需要有</w:t>
            </w:r>
            <w:r>
              <w:rPr>
                <w:rFonts w:ascii="仿宋_GB2312" w:hAnsi="仿宋_GB2312" w:cs="仿宋_GB2312" w:eastAsia="仿宋_GB2312"/>
                <w:sz w:val="24"/>
              </w:rPr>
              <w:t>相关类似的</w:t>
            </w:r>
            <w:r>
              <w:rPr>
                <w:rFonts w:ascii="仿宋_GB2312" w:hAnsi="仿宋_GB2312" w:cs="仿宋_GB2312" w:eastAsia="仿宋_GB2312"/>
                <w:sz w:val="24"/>
              </w:rPr>
              <w:t>丰富经验。本项目专业</w:t>
            </w:r>
            <w:r>
              <w:rPr>
                <w:rFonts w:ascii="仿宋_GB2312" w:hAnsi="仿宋_GB2312" w:cs="仿宋_GB2312" w:eastAsia="仿宋_GB2312"/>
                <w:sz w:val="24"/>
              </w:rPr>
              <w:t>律师团队人员不少于</w:t>
            </w:r>
            <w:r>
              <w:rPr>
                <w:rFonts w:ascii="仿宋_GB2312" w:hAnsi="仿宋_GB2312" w:cs="仿宋_GB2312" w:eastAsia="仿宋_GB2312"/>
                <w:sz w:val="24"/>
              </w:rPr>
              <w:t>6人</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进度要求：自合同签订之日起至项目结束，具体进度</w:t>
            </w:r>
            <w:r>
              <w:rPr>
                <w:rFonts w:ascii="仿宋_GB2312" w:hAnsi="仿宋_GB2312" w:cs="仿宋_GB2312" w:eastAsia="仿宋_GB2312"/>
                <w:sz w:val="24"/>
              </w:rPr>
              <w:t>按照采购人</w:t>
            </w:r>
            <w:r>
              <w:rPr>
                <w:rFonts w:ascii="仿宋_GB2312" w:hAnsi="仿宋_GB2312" w:cs="仿宋_GB2312" w:eastAsia="仿宋_GB2312"/>
                <w:sz w:val="24"/>
              </w:rPr>
              <w:t>要求执行</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成果交付要求：按照采购人</w:t>
            </w:r>
            <w:r>
              <w:rPr>
                <w:rFonts w:ascii="仿宋_GB2312" w:hAnsi="仿宋_GB2312" w:cs="仿宋_GB2312" w:eastAsia="仿宋_GB2312"/>
                <w:sz w:val="24"/>
              </w:rPr>
              <w:t>要求执行。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于收到仲裁裁决书后（一次性支付剩余合同总款项）</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1.本项目专门面向中小企业采购，供应商应为中小企业或监狱企业或残疾人福利性单位。 2.本项目属性为服务。 3.本项目合同包1采购标的所属行业为：其他未列明行业； 4.本项目是否属于信用担保试点范围：否。 5.根据陕西省财政厅关于启用会计师事务所审计报告“二维码”赋码查验功能的通知（陕财办会函〔2022〕55号），供应商提交的2024年度经审计的完整财务审计报告中，需附带具备查验功能的二维码。 6.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磋商，须提供法定代表人身份证明；3.提供磋商截止日前一年内任意一个月的纳税证明或完税证明（增值税、印花税、城市维护建设费、企业所得税等一种或多种税种），依法免税的单位提供相关证明材料；4.提供磋商截止日前一年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响应函 商务偏离表.docx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提供磋商截止日前一年内任意一个月的纳税证明或完税证明（增值税、印花税、城市维护建设费、企业所得税等一种或多种税种），依法免税的单位提供相关证明材料；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供应商具有合法有效的《律师事务所执业许可证》；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供应商对本项目的理解程度</w:t>
            </w:r>
          </w:p>
        </w:tc>
        <w:tc>
          <w:tcPr>
            <w:tcW w:type="dxa" w:w="2492"/>
          </w:tcPr>
          <w:p>
            <w:pPr>
              <w:pStyle w:val="null3"/>
            </w:pPr>
            <w:r>
              <w:rPr>
                <w:rFonts w:ascii="仿宋_GB2312" w:hAnsi="仿宋_GB2312" w:cs="仿宋_GB2312" w:eastAsia="仿宋_GB2312"/>
              </w:rPr>
              <w:t>根据供应商对本项目的理解程度，从背景、现状、采购内容等方面进行描述，全面深入了解项目情况，完全满足磋商文件要求计6.1-10分；比较了解项目情况，基本满足磋商文件要求计3.1-6分；描述内容模糊混乱的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磋商文件的要求，对供应商的实施方案的专业性、技术指标的合理性和可操作性进行赋分，能在完全理解项目要求的基础上具有完善的实施方案，且专业性、科学性高，操作性强的计12.1-15分；方案的编制完整、可操作性较强，易懂计8.1-12分；基本满足项目要求，方案较详细、合理计4.1-8分；方案简单模糊计1-4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根据磋商文件的要求，对供应商的组织架构的合理性、完整性和体系性进行赋分，能在完全理解项目要求的基础上具有细致的组织构架，且完整性、体系性高的计6.1-8分；基本满足项目要求，组织构架较详细、合理计3.1-6分；组织构架简单、不详细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对本项目制定科学、合理的工作进度计划，且具有质量保障、进度控制等技术组织措施，详细合理，完全满足磋商文件要求计6.1-8分，措施较合理，基本满足磋商文件要求计3.1-6分，简单、不合理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针对本项目的重点难点分析及合理化建议，根据分析、建议及可实施性，详细合理，完全满足磋商文件要求计7.1-10分，建议较合理，基本满足磋商文件要求计4.1-7分，简单模糊计1-4分，未提供不计分。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完善的管理体系，项目规划合理，制定有效的管理制度，配备相应的辅助工具，详细合理，完全满足磋商文件要求计6.1-9分，规划较合理，基本满足磋商文件要求计3.1-6分，规划不合理、简单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团队人员及管理方案</w:t>
            </w:r>
          </w:p>
        </w:tc>
        <w:tc>
          <w:tcPr>
            <w:tcW w:type="dxa" w:w="2492"/>
          </w:tcPr>
          <w:p>
            <w:pPr>
              <w:pStyle w:val="null3"/>
            </w:pPr>
            <w:r>
              <w:rPr>
                <w:rFonts w:ascii="仿宋_GB2312" w:hAnsi="仿宋_GB2312" w:cs="仿宋_GB2312" w:eastAsia="仿宋_GB2312"/>
              </w:rPr>
              <w:t>人员配备与管理方案：所配人员满足要求，人员结构合理、责任明确，从业经历丰富、人员组织安排科学，计4.1-8分。所配人员基本满足要求，人员结构一般、从业经历一般、人员组织安排一般；计1-4分。未提供不计分。（需提供证明材料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项目主办律师</w:t>
            </w:r>
          </w:p>
        </w:tc>
        <w:tc>
          <w:tcPr>
            <w:tcW w:type="dxa" w:w="2492"/>
          </w:tcPr>
          <w:p>
            <w:pPr>
              <w:pStyle w:val="null3"/>
            </w:pPr>
            <w:r>
              <w:rPr>
                <w:rFonts w:ascii="仿宋_GB2312" w:hAnsi="仿宋_GB2312" w:cs="仿宋_GB2312" w:eastAsia="仿宋_GB2312"/>
              </w:rPr>
              <w:t>提供项目主办律师自2022年01月01日起至今类似业绩，每提供一份得1分，最多2分。 未提供不计分。 （需提供证明材料并加盖公章）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实施及协调过程有明确承诺，并承诺积极按照采购人提出的要求或意见改进工作，且针对本项目作出售后服务保障措施能提供实质性承诺（应包含不能完全履行承诺时愿意接受相关处罚的承诺），详细合理可得3.1-6分，条理模糊、简单、实质性体现一般得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保密制度健全、措施具体详细可行，得3.1-6分； 保密制度基本健全、措施基本可行，得1-3分，未提供不计分。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供应商提供自2022年01月01日起至今类似项目业绩（以合同签订时间或中标通知书时间为准），每提供一个业绩得2分，满分8分。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