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版本号：ZCBN-鄠邑区-2025-00151.1B220250722001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2025年老年人意外伤害保险(三次)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ZCBN-鄠邑区-2025-00151.1B2</w:t>
      </w:r>
      <w:r>
        <w:br/>
      </w:r>
      <w:r>
        <w:br/>
      </w:r>
      <w:r>
        <w:br/>
      </w:r>
    </w:p>
    <w:p>
      <w:pPr>
        <w:pStyle w:val="null3"/>
        <w:jc w:val="center"/>
        <w:outlineLvl w:val="2"/>
      </w:pPr>
      <w:r>
        <w:rPr>
          <w:rFonts w:ascii="仿宋_GB2312" w:hAnsi="仿宋_GB2312" w:cs="仿宋_GB2312" w:eastAsia="仿宋_GB2312"/>
          <w:sz w:val="28"/>
          <w:b/>
        </w:rPr>
        <w:t>西安市鄠邑区民政局</w:t>
      </w:r>
    </w:p>
    <w:p>
      <w:pPr>
        <w:pStyle w:val="null3"/>
        <w:jc w:val="center"/>
        <w:outlineLvl w:val="2"/>
      </w:pPr>
      <w:r>
        <w:rPr>
          <w:rFonts w:ascii="仿宋_GB2312" w:hAnsi="仿宋_GB2312" w:cs="仿宋_GB2312" w:eastAsia="仿宋_GB2312"/>
          <w:sz w:val="28"/>
          <w:b/>
        </w:rPr>
        <w:t>知含国际工程咨询有限公司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知含国际工程咨询有限公司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西安市鄠邑区民政局</w:t>
      </w:r>
      <w:r>
        <w:rPr>
          <w:rFonts w:ascii="仿宋_GB2312" w:hAnsi="仿宋_GB2312" w:cs="仿宋_GB2312" w:eastAsia="仿宋_GB2312"/>
        </w:rPr>
        <w:t>委托，拟对</w:t>
      </w:r>
      <w:r>
        <w:rPr>
          <w:rFonts w:ascii="仿宋_GB2312" w:hAnsi="仿宋_GB2312" w:cs="仿宋_GB2312" w:eastAsia="仿宋_GB2312"/>
        </w:rPr>
        <w:t>2025年老年人意外伤害保险(三次)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ZCBN-鄠邑区-2025-00151.1B2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2025年老年人意外伤害保险(三次)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缓解社会保障压力，提高老年人及家庭抗风险能力，弥补社会医保经费的不足，促进社会和谐稳定，为2025年12月31日前满60周岁及以上享受城乡最低生活保障待遇人员、城乡特困供养人员、享受国家定期抚恤补助优抚对象中居家养老的老人和2025年12月31日前满80周岁居家养老的老人购买老年人意外伤害保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1、营业执照：供应商应具有独立承担民事责任的能力的企业法人、事业法人或其他组织或自然人 , 并出具合法有效的营业执照或事业单位法人证书等国家规定的相关证明；</w:t>
      </w:r>
    </w:p>
    <w:p>
      <w:pPr>
        <w:pStyle w:val="null3"/>
      </w:pPr>
      <w:r>
        <w:rPr>
          <w:rFonts w:ascii="仿宋_GB2312" w:hAnsi="仿宋_GB2312" w:cs="仿宋_GB2312" w:eastAsia="仿宋_GB2312"/>
        </w:rPr>
        <w:t>2、财务状况报告：提供2023年度或2024年度经审计的财务报告或成立时间不足一年的提供磋商前6个月的银行资信证明及银行开户证明；</w:t>
      </w:r>
    </w:p>
    <w:p>
      <w:pPr>
        <w:pStyle w:val="null3"/>
      </w:pPr>
      <w:r>
        <w:rPr>
          <w:rFonts w:ascii="仿宋_GB2312" w:hAnsi="仿宋_GB2312" w:cs="仿宋_GB2312" w:eastAsia="仿宋_GB2312"/>
        </w:rPr>
        <w:t>3、社会保障资金缴纳证明：提供磋商截止日前一年内已缴存的至少一个月的社会保障资金缴存单据或社保机构开具的社会保险参保缴费情况证明，依法不需要缴纳社会保障资金的单位应提供相关证明材料；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4、缴纳税收：提供磋商截止日前一年内已缴纳的至少一个月的纳税证明或完税证明，依法免税的单位应提供相关证明材料；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5、书面说明：参加本次磋商前3年内，在经营活动中没有重大违法记录的书面声明；</w:t>
      </w:r>
    </w:p>
    <w:p>
      <w:pPr>
        <w:pStyle w:val="null3"/>
      </w:pPr>
      <w:r>
        <w:rPr>
          <w:rFonts w:ascii="仿宋_GB2312" w:hAnsi="仿宋_GB2312" w:cs="仿宋_GB2312" w:eastAsia="仿宋_GB2312"/>
        </w:rPr>
        <w:t>6、授权委托书：法定代表人直接参与磋商的，须出具法定代表人或分公司负责人证明书（附法人身份证复印件）；法定代表人授权代表参与磋商的，须出具法定代表人或分公司负责人授权书。（法定代表人或分公司负责人直接磋商只须提交其身份证明）</w:t>
      </w:r>
    </w:p>
    <w:p>
      <w:pPr>
        <w:pStyle w:val="null3"/>
      </w:pPr>
      <w:r>
        <w:rPr>
          <w:rFonts w:ascii="仿宋_GB2312" w:hAnsi="仿宋_GB2312" w:cs="仿宋_GB2312" w:eastAsia="仿宋_GB2312"/>
        </w:rPr>
        <w:t>7、信誉要求：供应商不得为“信用中国” 网站中列入失信被执行人和重大税收违法失信主体名单的供应商，不得为中国政府采购网政府采购严重违法失信行为记录名单中被财政部门禁止参加政府采购活动的供应商；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8、经营保险业务许可证：供应商具有中国银行保险监督管理委员会颁发的经营保险业务许可证；</w:t>
      </w:r>
    </w:p>
    <w:p>
      <w:pPr>
        <w:pStyle w:val="null3"/>
      </w:pPr>
      <w:r>
        <w:rPr>
          <w:rFonts w:ascii="仿宋_GB2312" w:hAnsi="仿宋_GB2312" w:cs="仿宋_GB2312" w:eastAsia="仿宋_GB2312"/>
        </w:rPr>
        <w:t>9、书面说明：供应商须具有履行合同所必需的设备和专业技术能力，须附相关证明材料或书面声明；</w:t>
      </w:r>
    </w:p>
    <w:p>
      <w:pPr>
        <w:pStyle w:val="null3"/>
      </w:pPr>
      <w:r>
        <w:rPr>
          <w:rFonts w:ascii="仿宋_GB2312" w:hAnsi="仿宋_GB2312" w:cs="仿宋_GB2312" w:eastAsia="仿宋_GB2312"/>
        </w:rPr>
        <w:t>10、非联合体声明：本项目不接受联合体，单位负责人为同一人或者存在控股、管理关系的不同单位不得同时参加。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鄠邑区东大街7号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029-84819032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知含国际工程咨询有限公司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西安市雁塔区电子二路60号城发集团二楼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龙瑾阳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029-81128319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采购包1：426,420.00元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代理服务费收费标准：1、招标代理服务费参照国家计委关于印发《代理服务收费管理暂行办法》的通知（计价格〔2002〕1980号）、《国家发展和改革委员会办公厅关 于代理服务收费有关问题的通知》（发改办价格〔2003〕857号）规定标准收取。2、在领取成交通知书前，由成交单位向采购代理机构缴纳招标代理服务费，一次性付清。3、代理服务费缴纳账户信息：账户名称：知含国际工程咨询有限公司 开户行名称：中国建设银行股份有限公司咸阳世纪大道支行 开户账号：61001635008052503621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西安市鄠邑区民政局</w:t>
      </w:r>
      <w:r>
        <w:rPr>
          <w:rFonts w:ascii="仿宋_GB2312" w:hAnsi="仿宋_GB2312" w:cs="仿宋_GB2312" w:eastAsia="仿宋_GB2312"/>
        </w:rPr>
        <w:t>和</w:t>
      </w:r>
      <w:r>
        <w:rPr>
          <w:rFonts w:ascii="仿宋_GB2312" w:hAnsi="仿宋_GB2312" w:cs="仿宋_GB2312" w:eastAsia="仿宋_GB2312"/>
        </w:rPr>
        <w:t>知含国际工程咨询有限公司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知含国际工程咨询有限公司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知含国际工程咨询有限公司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联系人：龙瑾阳</w:t>
      </w:r>
    </w:p>
    <w:p>
      <w:pPr>
        <w:pStyle w:val="null3"/>
      </w:pPr>
      <w:r>
        <w:rPr>
          <w:rFonts w:ascii="仿宋_GB2312" w:hAnsi="仿宋_GB2312" w:cs="仿宋_GB2312" w:eastAsia="仿宋_GB2312"/>
        </w:rPr>
        <w:t>联系电话：029-81128319</w:t>
      </w:r>
    </w:p>
    <w:p>
      <w:pPr>
        <w:pStyle w:val="null3"/>
      </w:pPr>
      <w:r>
        <w:rPr>
          <w:rFonts w:ascii="仿宋_GB2312" w:hAnsi="仿宋_GB2312" w:cs="仿宋_GB2312" w:eastAsia="仿宋_GB2312"/>
        </w:rPr>
        <w:t>地址：西安市雁塔区电子二路60号城发集团二楼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缓解社会保障压力，提高老年人及家庭抗风险能力，弥补社会医保经费的不足，促进社会和谐稳定，为2025年12月31日前满60周岁及以上享受城乡最低生活保障待遇人员、城乡特困供养人员、享受国家定期抚恤补助优抚对象中居家养老的老人和2025年12月31日前满80周岁居家养老的老人购买老年人意外伤害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426,420.00</w:t>
      </w:r>
    </w:p>
    <w:p>
      <w:pPr>
        <w:pStyle w:val="null3"/>
      </w:pPr>
      <w:r>
        <w:rPr>
          <w:rFonts w:ascii="仿宋_GB2312" w:hAnsi="仿宋_GB2312" w:cs="仿宋_GB2312" w:eastAsia="仿宋_GB2312"/>
        </w:rPr>
        <w:t>采购包最高限价（元）: 426,420.00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老年人人身意外保险</w:t>
            </w:r>
          </w:p>
        </w:tc>
        <w:tc>
          <w:tcPr>
            <w:tcW w:type="dxa" w:w="831"/>
          </w:tcPr>
          <w:p>
            <w:pPr>
              <w:pStyle w:val="null3"/>
              <w:jc w:val="right"/>
            </w:pPr>
            <w:r>
              <w:rPr>
                <w:rFonts w:ascii="仿宋_GB2312" w:hAnsi="仿宋_GB2312" w:cs="仿宋_GB2312" w:eastAsia="仿宋_GB2312"/>
              </w:rPr>
              <w:t>21,321.00</w:t>
            </w:r>
          </w:p>
        </w:tc>
        <w:tc>
          <w:tcPr>
            <w:tcW w:type="dxa" w:w="831"/>
          </w:tcPr>
          <w:p>
            <w:pPr>
              <w:pStyle w:val="null3"/>
              <w:jc w:val="right"/>
            </w:pPr>
            <w:r>
              <w:rPr>
                <w:rFonts w:ascii="仿宋_GB2312" w:hAnsi="仿宋_GB2312" w:cs="仿宋_GB2312" w:eastAsia="仿宋_GB2312"/>
              </w:rPr>
              <w:t>426,420.00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标的名称：老年人人身意外保险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为鄠邑区</w:t>
            </w:r>
            <w:r>
              <w:rPr>
                <w:rFonts w:ascii="仿宋_GB2312" w:hAnsi="仿宋_GB2312" w:cs="仿宋_GB2312" w:eastAsia="仿宋_GB2312"/>
                <w:sz w:val="32"/>
              </w:rPr>
              <w:t>21321</w:t>
            </w:r>
            <w:r>
              <w:rPr>
                <w:rFonts w:ascii="仿宋_GB2312" w:hAnsi="仿宋_GB2312" w:cs="仿宋_GB2312" w:eastAsia="仿宋_GB2312"/>
                <w:sz w:val="32"/>
              </w:rPr>
              <w:t>名</w:t>
            </w:r>
            <w:r>
              <w:rPr>
                <w:rFonts w:ascii="仿宋_GB2312" w:hAnsi="仿宋_GB2312" w:cs="仿宋_GB2312" w:eastAsia="仿宋_GB2312"/>
                <w:sz w:val="28"/>
              </w:rPr>
              <w:t>符合政府购买条件的老人每人购买</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年度老年人意外伤害保险。</w:t>
            </w:r>
          </w:p>
          <w:p>
            <w:pPr>
              <w:pStyle w:val="null3"/>
              <w:spacing w:before="90"/>
              <w:ind w:left="2880"/>
              <w:jc w:val="both"/>
            </w:pPr>
            <w:r>
              <w:rPr>
                <w:rFonts w:ascii="仿宋_GB2312" w:hAnsi="仿宋_GB2312" w:cs="仿宋_GB2312" w:eastAsia="仿宋_GB2312"/>
                <w:sz w:val="21"/>
              </w:rPr>
              <w:t>保险范围和保险金额</w:t>
            </w:r>
          </w:p>
          <w:tbl>
            <w:tblPr>
              <w:tblBorders>
                <w:top w:val="none" w:color="000000" w:sz="4"/>
                <w:left w:val="none" w:color="000000" w:sz="4"/>
                <w:bottom w:val="none" w:color="000000" w:sz="4"/>
                <w:right w:val="none" w:color="000000" w:sz="4"/>
                <w:insideH w:val="none"/>
                <w:insideV w:val="none"/>
              </w:tblBorders>
            </w:tblPr>
            <w:tblGrid>
              <w:gridCol w:w="1047"/>
              <w:gridCol w:w="1501"/>
            </w:tblGrid>
            <w:tr>
              <w:tc>
                <w:tcPr>
                  <w:tcW w:type="dxa" w:w="10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保险范围</w:t>
                  </w:r>
                </w:p>
                <w:p>
                  <w:pPr>
                    <w:pStyle w:val="null3"/>
                    <w:jc w:val="center"/>
                  </w:pPr>
                  <w:r>
                    <w:rPr>
                      <w:rFonts w:ascii="仿宋_GB2312" w:hAnsi="仿宋_GB2312" w:cs="仿宋_GB2312" w:eastAsia="仿宋_GB2312"/>
                      <w:sz w:val="28"/>
                    </w:rPr>
                    <w:t>(西安市辖区内)</w:t>
                  </w:r>
                </w:p>
              </w:tc>
              <w:tc>
                <w:tcPr>
                  <w:tcW w:type="dxa" w:w="15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保险金额</w:t>
                  </w:r>
                </w:p>
              </w:tc>
            </w:tr>
            <w:tr>
              <w:tc>
                <w:tcPr>
                  <w:tcW w:type="dxa" w:w="104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各类居家养老服务机构内</w:t>
                  </w:r>
                </w:p>
              </w:tc>
              <w:tc>
                <w:tcPr>
                  <w:tcW w:type="dxa" w:w="1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意外身故最高赔偿限额</w:t>
                  </w:r>
                  <w:r>
                    <w:rPr>
                      <w:rFonts w:ascii="仿宋_GB2312" w:hAnsi="仿宋_GB2312" w:cs="仿宋_GB2312" w:eastAsia="仿宋_GB2312"/>
                      <w:sz w:val="28"/>
                    </w:rPr>
                    <w:t>60000元/人</w:t>
                  </w:r>
                </w:p>
              </w:tc>
            </w:tr>
            <w:tr>
              <w:tc>
                <w:tcPr>
                  <w:tcW w:type="dxa" w:w="1047"/>
                  <w:vMerge/>
                  <w:tcBorders>
                    <w:top w:val="none" w:color="000000" w:sz="4"/>
                    <w:left w:val="single" w:color="000000" w:sz="4"/>
                    <w:bottom w:val="none" w:color="000000" w:sz="4"/>
                    <w:right w:val="single" w:color="000000" w:sz="4"/>
                  </w:tcBorders>
                </w:tcPr>
                <w:p/>
              </w:tc>
              <w:tc>
                <w:tcPr>
                  <w:tcW w:type="dxa" w:w="1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意外残疾最高赔偿限额</w:t>
                  </w:r>
                  <w:r>
                    <w:rPr>
                      <w:rFonts w:ascii="仿宋_GB2312" w:hAnsi="仿宋_GB2312" w:cs="仿宋_GB2312" w:eastAsia="仿宋_GB2312"/>
                      <w:sz w:val="28"/>
                    </w:rPr>
                    <w:t>60000元/人</w:t>
                  </w:r>
                </w:p>
              </w:tc>
            </w:tr>
            <w:tr>
              <w:tc>
                <w:tcPr>
                  <w:tcW w:type="dxa" w:w="1047"/>
                  <w:vMerge/>
                  <w:tcBorders>
                    <w:top w:val="none" w:color="000000" w:sz="4"/>
                    <w:left w:val="single" w:color="000000" w:sz="4"/>
                    <w:bottom w:val="none" w:color="000000" w:sz="4"/>
                    <w:right w:val="single" w:color="000000" w:sz="4"/>
                  </w:tcBorders>
                </w:tcPr>
                <w:p/>
              </w:tc>
              <w:tc>
                <w:tcPr>
                  <w:tcW w:type="dxa" w:w="1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意外伤害医疗费最高赔偿限额</w:t>
                  </w:r>
                  <w:r>
                    <w:rPr>
                      <w:rFonts w:ascii="仿宋_GB2312" w:hAnsi="仿宋_GB2312" w:cs="仿宋_GB2312" w:eastAsia="仿宋_GB2312"/>
                      <w:sz w:val="28"/>
                    </w:rPr>
                    <w:t>10000元/人</w:t>
                  </w:r>
                </w:p>
              </w:tc>
            </w:tr>
            <w:tr>
              <w:tc>
                <w:tcPr>
                  <w:tcW w:type="dxa" w:w="104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8"/>
                    </w:rPr>
                    <w:t>居所、庭院、小区周围广场、道路等日常生活空间；</w:t>
                  </w:r>
                </w:p>
                <w:p>
                  <w:pPr>
                    <w:pStyle w:val="null3"/>
                    <w:jc w:val="both"/>
                  </w:pPr>
                  <w:r>
                    <w:rPr>
                      <w:rFonts w:ascii="仿宋_GB2312" w:hAnsi="仿宋_GB2312" w:cs="仿宋_GB2312" w:eastAsia="仿宋_GB2312"/>
                      <w:sz w:val="28"/>
                    </w:rPr>
                    <w:t>2.农贸市场、超市、宾馆、饭店等营业性服务场所及上述列明范围外的其他区域。</w:t>
                  </w:r>
                </w:p>
              </w:tc>
              <w:tc>
                <w:tcPr>
                  <w:tcW w:type="dxa" w:w="1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意外身故最高赔偿限额</w:t>
                  </w:r>
                  <w:r>
                    <w:rPr>
                      <w:rFonts w:ascii="仿宋_GB2312" w:hAnsi="仿宋_GB2312" w:cs="仿宋_GB2312" w:eastAsia="仿宋_GB2312"/>
                      <w:sz w:val="28"/>
                    </w:rPr>
                    <w:t>20000元/人</w:t>
                  </w:r>
                </w:p>
              </w:tc>
            </w:tr>
            <w:tr>
              <w:tc>
                <w:tcPr>
                  <w:tcW w:type="dxa" w:w="1047"/>
                  <w:vMerge/>
                  <w:tcBorders>
                    <w:top w:val="none" w:color="000000" w:sz="4"/>
                    <w:left w:val="single" w:color="000000" w:sz="4"/>
                    <w:bottom w:val="none" w:color="000000" w:sz="4"/>
                    <w:right w:val="single" w:color="000000" w:sz="4"/>
                  </w:tcBorders>
                </w:tcPr>
                <w:p/>
              </w:tc>
              <w:tc>
                <w:tcPr>
                  <w:tcW w:type="dxa" w:w="1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意外残疾最高赔偿限额</w:t>
                  </w:r>
                  <w:r>
                    <w:rPr>
                      <w:rFonts w:ascii="仿宋_GB2312" w:hAnsi="仿宋_GB2312" w:cs="仿宋_GB2312" w:eastAsia="仿宋_GB2312"/>
                      <w:sz w:val="28"/>
                    </w:rPr>
                    <w:t>20000元/人</w:t>
                  </w:r>
                </w:p>
              </w:tc>
            </w:tr>
            <w:tr>
              <w:tc>
                <w:tcPr>
                  <w:tcW w:type="dxa" w:w="1047"/>
                  <w:vMerge/>
                  <w:tcBorders>
                    <w:top w:val="none" w:color="000000" w:sz="4"/>
                    <w:left w:val="single" w:color="000000" w:sz="4"/>
                    <w:bottom w:val="none" w:color="000000" w:sz="4"/>
                    <w:right w:val="single" w:color="000000" w:sz="4"/>
                  </w:tcBorders>
                </w:tcPr>
                <w:p/>
              </w:tc>
              <w:tc>
                <w:tcPr>
                  <w:tcW w:type="dxa" w:w="1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意外伤害医疗费最高赔偿限额</w:t>
                  </w:r>
                  <w:r>
                    <w:rPr>
                      <w:rFonts w:ascii="仿宋_GB2312" w:hAnsi="仿宋_GB2312" w:cs="仿宋_GB2312" w:eastAsia="仿宋_GB2312"/>
                      <w:sz w:val="28"/>
                    </w:rPr>
                    <w:t>3000元/人</w:t>
                  </w:r>
                </w:p>
              </w:tc>
            </w:tr>
            <w:tr>
              <w:tc>
                <w:tcPr>
                  <w:tcW w:type="dxa" w:w="254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8"/>
                    </w:rPr>
                    <w:t>备</w:t>
                  </w:r>
                  <w:r>
                    <w:rPr>
                      <w:rFonts w:ascii="仿宋_GB2312" w:hAnsi="仿宋_GB2312" w:cs="仿宋_GB2312" w:eastAsia="仿宋_GB2312"/>
                      <w:sz w:val="28"/>
                    </w:rPr>
                    <w:t>注</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1.意外伤害住院津贴为30元/天/人/份；全年住院累计最长赔偿</w:t>
                  </w:r>
                  <w:r>
                    <w:rPr>
                      <w:rFonts w:ascii="仿宋_GB2312" w:hAnsi="仿宋_GB2312" w:cs="仿宋_GB2312" w:eastAsia="仿宋_GB2312"/>
                      <w:sz w:val="28"/>
                    </w:rPr>
                    <w:t>1</w:t>
                  </w:r>
                  <w:r>
                    <w:rPr>
                      <w:rFonts w:ascii="仿宋_GB2312" w:hAnsi="仿宋_GB2312" w:cs="仿宋_GB2312" w:eastAsia="仿宋_GB2312"/>
                      <w:sz w:val="28"/>
                    </w:rPr>
                    <w:t>80天。</w:t>
                  </w:r>
                </w:p>
                <w:p>
                  <w:pPr>
                    <w:pStyle w:val="null3"/>
                    <w:jc w:val="both"/>
                  </w:pPr>
                  <w:r>
                    <w:rPr>
                      <w:rFonts w:ascii="仿宋_GB2312" w:hAnsi="仿宋_GB2312" w:cs="仿宋_GB2312" w:eastAsia="仿宋_GB2312"/>
                      <w:sz w:val="28"/>
                    </w:rPr>
                    <w:t>2.意外医疗费免赔额为100元/次。</w:t>
                  </w:r>
                </w:p>
                <w:p>
                  <w:pPr>
                    <w:pStyle w:val="null3"/>
                    <w:jc w:val="both"/>
                  </w:pPr>
                  <w:r>
                    <w:rPr>
                      <w:rFonts w:ascii="仿宋_GB2312" w:hAnsi="仿宋_GB2312" w:cs="仿宋_GB2312" w:eastAsia="仿宋_GB2312"/>
                      <w:sz w:val="28"/>
                    </w:rPr>
                    <w:t>3.意外医疗费赔付比例：通过医保先行赔付的意外医疗费，剩余部分在医保赔付的范围内保险人同意按照100%赔付；不通过医保直接向保险人赔付的意外医疗费，在医保赔付的范围内保险人同意按照70%赔付。</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服务团队人员应包括但不限于①承保②理赔③风险管理④协调沟通等不同专业能力和职能的人员。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2025年1月1日零时起至2025年12月31日二十四时止。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按照合同约定支付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提交一正二副，书籍(胶装)方式装订的盖章的纸质文件，若正本和副本不一致的，以正本为准。送至陕西省西安市雁塔区电子二路60号城发集团二楼。2、供应商务必在开标截止时间30分钟前，通过项目电子化交易系统进行签到，如未进行签到，产生的一切后果由供应商自行承担。3、签名是指手写签名或者加盖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供应商应具有独立承担民事责任的能力的企业法人、事业法人或其他组织或自然人 , 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提供2023年度或2024年度经审计的财务报告或成立时间不足一年的提供磋商前6个月的银行资信证明及银行开户证明；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w:t>
            </w:r>
          </w:p>
        </w:tc>
        <w:tc>
          <w:tcPr>
            <w:tcW w:type="dxa" w:w="3322"/>
          </w:tcPr>
          <w:p>
            <w:pPr>
              <w:pStyle w:val="null3"/>
            </w:pPr>
            <w:r>
              <w:rPr>
                <w:rFonts w:ascii="仿宋_GB2312" w:hAnsi="仿宋_GB2312" w:cs="仿宋_GB2312" w:eastAsia="仿宋_GB2312"/>
              </w:rPr>
              <w:t>参加本次磋商前3年内，在经营活动中没有重大违法记录的书面声明；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与磋商的，须出具法定代表人或分公司负责人证明书（附法人身份证复印件）；法定代表人授权代表参与磋商的，须出具法定代表人或分公司负责人授权书。（法定代表人或分公司负责人直接磋商只须提交其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 网站中列入失信被执行人和重大税收违法失信主体名单的供应商，不得为中国政府采购网政府采购严重违法失信行为记录名单中被财政部门禁止参加政府采购活动的供应商；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经营保险业务许可证</w:t>
            </w:r>
          </w:p>
        </w:tc>
        <w:tc>
          <w:tcPr>
            <w:tcW w:type="dxa" w:w="3322"/>
          </w:tcPr>
          <w:p>
            <w:pPr>
              <w:pStyle w:val="null3"/>
            </w:pPr>
            <w:r>
              <w:rPr>
                <w:rFonts w:ascii="仿宋_GB2312" w:hAnsi="仿宋_GB2312" w:cs="仿宋_GB2312" w:eastAsia="仿宋_GB2312"/>
              </w:rPr>
              <w:t>供应商具有中国银行保险监督管理委员会颁发的经营保险业务许可证；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书面说明</w:t>
            </w:r>
          </w:p>
        </w:tc>
        <w:tc>
          <w:tcPr>
            <w:tcW w:type="dxa" w:w="3322"/>
          </w:tcPr>
          <w:p>
            <w:pPr>
              <w:pStyle w:val="null3"/>
            </w:pPr>
            <w:r>
              <w:rPr>
                <w:rFonts w:ascii="仿宋_GB2312" w:hAnsi="仿宋_GB2312" w:cs="仿宋_GB2312" w:eastAsia="仿宋_GB2312"/>
              </w:rPr>
              <w:t>供应商须具有履行合同所必需的设备和专业技术能力，须附相关证明材料或书面声明；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供应商应提交的相关资格证明材料 报价表 供应商承诺书.docx 商务条款响应说明.docx 响应文件封面 供应商资格要求.docx 响应报价表、分项报价表.docx 残疾人福利性单位声明函 标的清单 响应函 监狱企业的证明文件 服务应答表.docx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 供应商应提交的相关资格证明材料 报价表 供应商承诺书.docx 商务条款响应说明.docx 响应文件封面 供应商资格要求.docx 响应报价表、分项报价表.docx 残疾人福利性单位声明函 标的清单 响应函 监狱企业的证明文件 服务应答表.docx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供应商应提交的相关资格证明材料 报价表 供应商承诺书.docx 商务条款响应说明.docx 响应文件封面 供应商资格要求.docx 响应报价表、分项报价表.docx 残疾人福利性单位声明函 标的清单 响应函 监狱企业的证明文件 服务应答表.docx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1、本项目的单价为固定报价，不得增减，如有增减，则按无效文件处理。 2、响应单位对被保人保额承诺情况不得低于技术指标及要求，其中有一条不满足，则按无效响应处理。</w:t>
            </w:r>
          </w:p>
        </w:tc>
        <w:tc>
          <w:tcPr>
            <w:tcW w:type="dxa" w:w="1661"/>
          </w:tcPr>
          <w:p>
            <w:pPr>
              <w:pStyle w:val="null3"/>
            </w:pPr>
            <w:r>
              <w:rPr>
                <w:rFonts w:ascii="仿宋_GB2312" w:hAnsi="仿宋_GB2312" w:cs="仿宋_GB2312" w:eastAsia="仿宋_GB2312"/>
              </w:rPr>
              <w:t>响应报价表、分项报价表.docx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供应商提供针对本项目承保服务和理赔服务的人员配备、组织构架、实施计划、应急预案。 1、组织实施计划合理、结构清晰、项目组成人员职责任务明确、人员数量和人员专业结构配备合理，满足本项目要求，计15分； 2、组织实施计划较合理、结构较清晰、项目组成人员职责任务较明确、人员数量和人员专业结构配备较合理，满足本项目要求，计12分； 3、组织实施计划和人员配备基本全面、清晰，基本满足项目要求，计9分； 4、组织实施计划和人员配备一般，计6分； 5、组织实施计划和人员配备不合理，计3分； 6、未提供不计分。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保额方案</w:t>
            </w:r>
          </w:p>
        </w:tc>
        <w:tc>
          <w:tcPr>
            <w:tcW w:type="dxa" w:w="2492"/>
          </w:tcPr>
          <w:p>
            <w:pPr>
              <w:pStyle w:val="null3"/>
            </w:pPr>
            <w:r>
              <w:rPr>
                <w:rFonts w:ascii="仿宋_GB2312" w:hAnsi="仿宋_GB2312" w:cs="仿宋_GB2312" w:eastAsia="仿宋_GB2312"/>
              </w:rPr>
              <w:t>供应商对被保人保额承诺情况在技术要求基础上，承诺科学、合理、针对性强计5分；承诺较为合理、基本可行计3分；承诺一般、可行性不足，计1分；未提供不计分。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增值方案</w:t>
            </w:r>
          </w:p>
        </w:tc>
        <w:tc>
          <w:tcPr>
            <w:tcW w:type="dxa" w:w="2492"/>
          </w:tcPr>
          <w:p>
            <w:pPr>
              <w:pStyle w:val="null3"/>
            </w:pPr>
            <w:r>
              <w:rPr>
                <w:rFonts w:ascii="仿宋_GB2312" w:hAnsi="仿宋_GB2312" w:cs="仿宋_GB2312" w:eastAsia="仿宋_GB2312"/>
              </w:rPr>
              <w:t>供应商针对本项目提供增值项目，根据响应程度进行赋分。 1、增值服务方案内容全面、合理、针对性强、架构清晰完整，计20分； 2、增值服务方案内容完整，合理性、针对性较强、架构较为清晰完整，计15分； 3、增值服务方案内容基本合理，架构基本清晰，具有针对性，计10分； 4、增值服务方案具有合理性但针对性不强、架构不够清晰，计5分； 5、增值服务方案内容无合理性及针对性、架构模糊，计1分； 6、未提供不计分。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服务保证机制</w:t>
            </w:r>
          </w:p>
        </w:tc>
        <w:tc>
          <w:tcPr>
            <w:tcW w:type="dxa" w:w="2492"/>
          </w:tcPr>
          <w:p>
            <w:pPr>
              <w:pStyle w:val="null3"/>
            </w:pPr>
            <w:r>
              <w:rPr>
                <w:rFonts w:ascii="仿宋_GB2312" w:hAnsi="仿宋_GB2312" w:cs="仿宋_GB2312" w:eastAsia="仿宋_GB2312"/>
              </w:rPr>
              <w:t>1、供应商设有固定的分支机构可覆盖陕西省范围进行属地服务。供应商需提供行政区域分支机构明细和对应的有效营业执照复印件、经营保险业务许可证复印件并加盖公章。 按供应商其省内有效网点数量进行评分， 排名第一的计15分，排名第二的计10分，排名第三计5分，其余不计分。 2、对项目执行过程中的质量保证、沟通途径有明确说明，对服务态度、服务质量较差的业务人员制定具体的处罚办法。 （1）内容科学、合理、针对性强计5分； （2）内容基本合理、可行计3分； （3）内容一般、可行一般计1分； （4）未提供不计分。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综合偿付能力充足率</w:t>
            </w:r>
          </w:p>
        </w:tc>
        <w:tc>
          <w:tcPr>
            <w:tcW w:type="dxa" w:w="2492"/>
          </w:tcPr>
          <w:p>
            <w:pPr>
              <w:pStyle w:val="null3"/>
            </w:pPr>
            <w:r>
              <w:rPr>
                <w:rFonts w:ascii="仿宋_GB2312" w:hAnsi="仿宋_GB2312" w:cs="仿宋_GB2312" w:eastAsia="仿宋_GB2312"/>
              </w:rPr>
              <w:t>供应商所属总公司最近一个季度综合偿付能力充足率情况； （1）综合偿付能力≥220%得5分； （2）200%＞综合偿付能力≥180%的，得4分； （3）180%＞综合偿付能力≥160%的，得3分； （4）160%＞综合偿付能力≥140%的，得2分； （5）综合偿付能力＜140%的，得1分。 （提供供应商总公司经会计师事务所或第三方审计机构出具的财务报表加盖供应商公章，未提供不得分）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风险综合评级</w:t>
            </w:r>
          </w:p>
        </w:tc>
        <w:tc>
          <w:tcPr>
            <w:tcW w:type="dxa" w:w="2492"/>
          </w:tcPr>
          <w:p>
            <w:pPr>
              <w:pStyle w:val="null3"/>
            </w:pPr>
            <w:r>
              <w:rPr>
                <w:rFonts w:ascii="仿宋_GB2312" w:hAnsi="仿宋_GB2312" w:cs="仿宋_GB2312" w:eastAsia="仿宋_GB2312"/>
              </w:rPr>
              <w:t>供应商最近一个季度总公司风险综合评级情况： （1）评级为AAA、AA、A 的，得5分； （2）评级为BBB、BB、B 的，得3分； （3）获得C、D的。得1分。 (提供供应商总公司中国银行保险监督管理机构偿二代监管信息系统最近一个季度信息截图加盖公章，最高得5分，不提供的不得分)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供应商提供2022年6月1日至今类似项目业绩（类似项目是指政府为特定人群采购的人身保险，以协议或中标通知书的复印件加盖公章为准）；每提供1个计1分，最多计15分，无业绩不计分。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1、本次项目的单价为固定报价，不得增减，如有增减，则按无效文件处理。 2、响应单位对被保人保额承诺情况不得低于技术指标及要求，其中有一条不满足，则按无效投标处理。 满足以上两项者则计15分。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详见附件：商务条款响应说明.docx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