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F0F9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宋体" w:hAnsi="宋体" w:eastAsia="宋体" w:cs="宋体"/>
          <w:color w:val="000000" w:themeColor="text1"/>
          <w:sz w:val="43"/>
          <w:szCs w:val="43"/>
          <w:highlight w:val="none"/>
          <w14:textFill>
            <w14:solidFill>
              <w14:schemeClr w14:val="tx1"/>
            </w14:solidFill>
          </w14:textFill>
        </w:rPr>
      </w:pPr>
      <w:r>
        <w:rPr>
          <w:rFonts w:hint="eastAsia" w:ascii="宋体" w:hAnsi="宋体" w:eastAsia="宋体" w:cs="宋体"/>
          <w:b/>
          <w:bCs/>
          <w:color w:val="000000" w:themeColor="text1"/>
          <w:spacing w:val="-1"/>
          <w:sz w:val="43"/>
          <w:szCs w:val="43"/>
          <w:highlight w:val="none"/>
          <w14:textFill>
            <w14:solidFill>
              <w14:schemeClr w14:val="tx1"/>
            </w14:solidFill>
          </w14:textFill>
        </w:rPr>
        <w:t>政府采购合同格式</w:t>
      </w:r>
    </w:p>
    <w:p w14:paraId="30E9F5B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5"/>
          <w:sz w:val="21"/>
          <w:szCs w:val="21"/>
          <w:highlight w:val="none"/>
          <w14:textFill>
            <w14:solidFill>
              <w14:schemeClr w14:val="tx1"/>
            </w14:solidFill>
          </w14:textFill>
        </w:rPr>
        <w:t>合同编号：</w:t>
      </w:r>
    </w:p>
    <w:p w14:paraId="6004369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5"/>
          <w:sz w:val="21"/>
          <w:szCs w:val="21"/>
          <w:highlight w:val="none"/>
          <w14:textFill>
            <w14:solidFill>
              <w14:schemeClr w14:val="tx1"/>
            </w14:solidFill>
          </w14:textFill>
        </w:rPr>
        <w:t>签订地点：</w:t>
      </w:r>
      <w:bookmarkStart w:id="0" w:name="_GoBack"/>
      <w:bookmarkEnd w:id="0"/>
    </w:p>
    <w:p w14:paraId="4DB12CFC">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签订时间：</w:t>
      </w:r>
    </w:p>
    <w:p w14:paraId="68E3833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宋体" w:hAnsi="宋体" w:eastAsia="宋体" w:cs="宋体"/>
          <w:color w:val="000000" w:themeColor="text1"/>
          <w:spacing w:val="33"/>
          <w:sz w:val="21"/>
          <w:szCs w:val="21"/>
          <w:highlight w:val="none"/>
          <w:lang w:eastAsia="zh-CN"/>
          <w14:textFill>
            <w14:solidFill>
              <w14:schemeClr w14:val="tx1"/>
            </w14:solidFill>
          </w14:textFill>
        </w:rPr>
      </w:pPr>
      <w:r>
        <w:rPr>
          <w:rFonts w:hint="eastAsia" w:ascii="宋体" w:hAnsi="宋体" w:eastAsia="宋体" w:cs="宋体"/>
          <w:color w:val="000000" w:themeColor="text1"/>
          <w:spacing w:val="33"/>
          <w:sz w:val="21"/>
          <w:szCs w:val="21"/>
          <w:highlight w:val="none"/>
          <w14:textFill>
            <w14:solidFill>
              <w14:schemeClr w14:val="tx1"/>
            </w14:solidFill>
          </w14:textFill>
        </w:rPr>
        <w:t>采购人(甲方)</w:t>
      </w:r>
      <w:r>
        <w:rPr>
          <w:rFonts w:hint="eastAsia" w:ascii="宋体" w:hAnsi="宋体" w:eastAsia="宋体" w:cs="宋体"/>
          <w:color w:val="000000" w:themeColor="text1"/>
          <w:spacing w:val="33"/>
          <w:sz w:val="21"/>
          <w:szCs w:val="21"/>
          <w:highlight w:val="none"/>
          <w:lang w:eastAsia="zh-CN"/>
          <w14:textFill>
            <w14:solidFill>
              <w14:schemeClr w14:val="tx1"/>
            </w14:solidFill>
          </w14:textFill>
        </w:rPr>
        <w:t>：</w:t>
      </w:r>
    </w:p>
    <w:p w14:paraId="2FAB2DA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textAlignment w:val="baseline"/>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33"/>
          <w:sz w:val="21"/>
          <w:szCs w:val="21"/>
          <w:highlight w:val="none"/>
          <w14:textFill>
            <w14:solidFill>
              <w14:schemeClr w14:val="tx1"/>
            </w14:solidFill>
          </w14:textFill>
        </w:rPr>
        <w:t>供应商(乙方)</w:t>
      </w:r>
      <w:r>
        <w:rPr>
          <w:rFonts w:hint="eastAsia" w:ascii="宋体" w:hAnsi="宋体" w:eastAsia="宋体" w:cs="宋体"/>
          <w:color w:val="000000" w:themeColor="text1"/>
          <w:spacing w:val="33"/>
          <w:sz w:val="21"/>
          <w:szCs w:val="21"/>
          <w:highlight w:val="none"/>
          <w:lang w:eastAsia="zh-CN"/>
          <w14:textFill>
            <w14:solidFill>
              <w14:schemeClr w14:val="tx1"/>
            </w14:solidFill>
          </w14:textFill>
        </w:rPr>
        <w:t>：</w:t>
      </w:r>
    </w:p>
    <w:p w14:paraId="1F314CC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firstLine="436" w:firstLineChars="200"/>
        <w:jc w:val="both"/>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4"/>
          <w:sz w:val="21"/>
          <w:szCs w:val="21"/>
          <w:highlight w:val="none"/>
          <w14:textFill>
            <w14:solidFill>
              <w14:schemeClr w14:val="tx1"/>
            </w14:solidFill>
          </w14:textFill>
        </w:rPr>
        <w:t>根据《中华人民共和国政府采购法》及实施条例</w:t>
      </w:r>
      <w:r>
        <w:rPr>
          <w:rFonts w:hint="eastAsia" w:ascii="宋体" w:hAnsi="宋体" w:eastAsia="宋体" w:cs="宋体"/>
          <w:color w:val="000000" w:themeColor="text1"/>
          <w:spacing w:val="3"/>
          <w:sz w:val="21"/>
          <w:szCs w:val="21"/>
          <w:highlight w:val="none"/>
          <w14:textFill>
            <w14:solidFill>
              <w14:schemeClr w14:val="tx1"/>
            </w14:solidFill>
          </w14:textFill>
        </w:rPr>
        <w:t>、《中华人民共和国民法典》和甲方</w:t>
      </w:r>
      <w:r>
        <w:rPr>
          <w:rFonts w:hint="eastAsia" w:ascii="宋体" w:hAnsi="宋体" w:eastAsia="宋体" w:cs="宋体"/>
          <w:color w:val="000000" w:themeColor="text1"/>
          <w:spacing w:val="7"/>
          <w:sz w:val="21"/>
          <w:szCs w:val="21"/>
          <w:highlight w:val="none"/>
          <w14:textFill>
            <w14:solidFill>
              <w14:schemeClr w14:val="tx1"/>
            </w14:solidFill>
          </w14:textFill>
        </w:rPr>
        <w:t>采购项目</w:t>
      </w:r>
      <w:r>
        <w:rPr>
          <w:rFonts w:hint="eastAsia" w:ascii="宋体" w:hAnsi="宋体" w:eastAsia="宋体" w:cs="宋体"/>
          <w:color w:val="000000" w:themeColor="text1"/>
          <w:spacing w:val="7"/>
          <w:sz w:val="21"/>
          <w:szCs w:val="21"/>
          <w:highlight w:val="none"/>
          <w:lang w:val="en-US" w:eastAsia="zh-CN"/>
          <w14:textFill>
            <w14:solidFill>
              <w14:schemeClr w14:val="tx1"/>
            </w14:solidFill>
          </w14:textFill>
        </w:rPr>
        <w:t>名称</w:t>
      </w:r>
      <w:r>
        <w:rPr>
          <w:rFonts w:hint="eastAsia" w:ascii="宋体" w:hAnsi="宋体" w:eastAsia="宋体" w:cs="宋体"/>
          <w:color w:val="000000" w:themeColor="text1"/>
          <w:spacing w:val="7"/>
          <w:sz w:val="21"/>
          <w:szCs w:val="21"/>
          <w:highlight w:val="none"/>
          <w14:textFill>
            <w14:solidFill>
              <w14:schemeClr w14:val="tx1"/>
            </w14:solidFill>
          </w14:textFill>
        </w:rPr>
        <w:t>：</w:t>
      </w:r>
      <w:r>
        <w:rPr>
          <w:rFonts w:hint="eastAsia" w:ascii="宋体" w:hAnsi="宋体" w:eastAsia="宋体" w:cs="宋体"/>
          <w:color w:val="000000" w:themeColor="text1"/>
          <w:spacing w:val="25"/>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pacing w:val="25"/>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7"/>
          <w:sz w:val="21"/>
          <w:szCs w:val="21"/>
          <w:highlight w:val="none"/>
          <w14:textFill>
            <w14:solidFill>
              <w14:schemeClr w14:val="tx1"/>
            </w14:solidFill>
          </w14:textFill>
        </w:rPr>
        <w:t>(项目编号：</w:t>
      </w:r>
      <w:r>
        <w:rPr>
          <w:rFonts w:hint="eastAsia" w:ascii="宋体" w:hAnsi="宋体" w:eastAsia="宋体" w:cs="宋体"/>
          <w:color w:val="000000" w:themeColor="text1"/>
          <w:spacing w:val="25"/>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pacing w:val="25"/>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7"/>
          <w:sz w:val="21"/>
          <w:szCs w:val="21"/>
          <w:highlight w:val="none"/>
          <w14:textFill>
            <w14:solidFill>
              <w14:schemeClr w14:val="tx1"/>
            </w14:solidFill>
          </w14:textFill>
        </w:rPr>
        <w:t>)的采购文件、响应文件等有关规定，为确保</w:t>
      </w:r>
      <w:r>
        <w:rPr>
          <w:rFonts w:hint="eastAsia" w:ascii="宋体" w:hAnsi="宋体" w:eastAsia="宋体" w:cs="宋体"/>
          <w:color w:val="000000" w:themeColor="text1"/>
          <w:sz w:val="21"/>
          <w:szCs w:val="21"/>
          <w:highlight w:val="none"/>
          <w14:textFill>
            <w14:solidFill>
              <w14:schemeClr w14:val="tx1"/>
            </w14:solidFill>
          </w14:textFill>
        </w:rPr>
        <w:t>采购项目的顺利实施，甲、乙双方在平等自愿原则下签订本合同，并共同遵守如下条款：</w:t>
      </w:r>
    </w:p>
    <w:p w14:paraId="10A1C1D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2"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第一条</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项目基本情况</w:t>
      </w:r>
    </w:p>
    <w:p w14:paraId="1648074D">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025年度西安市鄠邑区残疾人职业技能和实用技术培训项目</w:t>
      </w:r>
    </w:p>
    <w:p w14:paraId="783DFA1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4"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第二条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合同期限</w:t>
      </w:r>
    </w:p>
    <w:p w14:paraId="6BF20598">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合同签订之日起至2025年</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lang w:val="en-US" w:eastAsia="zh-CN"/>
          <w14:textFill>
            <w14:solidFill>
              <w14:schemeClr w14:val="tx1"/>
            </w14:solidFill>
          </w14:textFill>
        </w:rPr>
        <w:t>31</w:t>
      </w:r>
      <w:r>
        <w:rPr>
          <w:rFonts w:hint="eastAsia" w:ascii="宋体" w:hAnsi="宋体" w:eastAsia="宋体" w:cs="宋体"/>
          <w:color w:val="000000" w:themeColor="text1"/>
          <w:sz w:val="21"/>
          <w:szCs w:val="21"/>
          <w:highlight w:val="none"/>
          <w14:textFill>
            <w14:solidFill>
              <w14:schemeClr w14:val="tx1"/>
            </w14:solidFill>
          </w14:textFill>
        </w:rPr>
        <w:t>日前完成</w:t>
      </w:r>
    </w:p>
    <w:p w14:paraId="31F80C3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2"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第三条</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服务内容与</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b/>
          <w:bCs/>
          <w:color w:val="000000" w:themeColor="text1"/>
          <w:sz w:val="21"/>
          <w:szCs w:val="21"/>
          <w:highlight w:val="none"/>
          <w14:textFill>
            <w14:solidFill>
              <w14:schemeClr w14:val="tx1"/>
            </w14:solidFill>
          </w14:textFill>
        </w:rPr>
        <w:t>量标准</w:t>
      </w:r>
    </w:p>
    <w:p w14:paraId="780320C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1.服务内容：</w:t>
      </w:r>
    </w:p>
    <w:p w14:paraId="44A378C2">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1.1培训对象</w:t>
      </w:r>
    </w:p>
    <w:p w14:paraId="7F938AC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（1）具有西安市户籍并持有有效期《中华人民共和国残疾人证》;</w:t>
      </w:r>
    </w:p>
    <w:p w14:paraId="23EB427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（2）处于就业年龄段;</w:t>
      </w:r>
    </w:p>
    <w:p w14:paraId="7F75677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（3）有劳动能力和就业意愿;</w:t>
      </w:r>
    </w:p>
    <w:p w14:paraId="3B0AABF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（4）具备接受培训的条件和能力。</w:t>
      </w:r>
    </w:p>
    <w:p w14:paraId="2B395CE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具备条件1和2的智力、精神及重度肢体残疾人家庭一名直系亲属亦可作为实施对象。</w:t>
      </w:r>
    </w:p>
    <w:p w14:paraId="7B90F4A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1.2培训人数</w:t>
      </w:r>
    </w:p>
    <w:p w14:paraId="0791B51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培训人数≥260人。</w:t>
      </w:r>
    </w:p>
    <w:p w14:paraId="686E564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1.3培训设备及地点</w:t>
      </w:r>
    </w:p>
    <w:p w14:paraId="4B9498F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培训设备设施由承标机构准备并布置；培训地点以方便残疾人学员就近安全为原则，具体教室地点由鄠邑区相关街道办酌定。</w:t>
      </w:r>
    </w:p>
    <w:p w14:paraId="00D80C3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1.4培训内容</w:t>
      </w:r>
    </w:p>
    <w:p w14:paraId="6270DF0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为鄠邑区就业年龄段持证残疾人开展种养殖、家电维修、AI应用类培训等种类技能培训，帮助残疾人提高就业创业技能，帮助部分残疾人实现灵活就业。</w:t>
      </w:r>
    </w:p>
    <w:p w14:paraId="2319DC62">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2.服务标准</w:t>
      </w:r>
      <w:r>
        <w:rPr>
          <w:rFonts w:hint="eastAsia" w:ascii="宋体" w:hAnsi="宋体" w:eastAsia="宋体" w:cs="宋体"/>
          <w:color w:val="000000" w:themeColor="text1"/>
          <w:spacing w:val="13"/>
          <w:sz w:val="21"/>
          <w:szCs w:val="21"/>
          <w:highlight w:val="none"/>
          <w:lang w:val="en-US" w:eastAsia="en-US"/>
          <w14:textFill>
            <w14:solidFill>
              <w14:schemeClr w14:val="tx1"/>
            </w14:solidFill>
          </w14:textFill>
        </w:rPr>
        <w:t>：达到国家相关规范</w:t>
      </w: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合格</w:t>
      </w:r>
      <w:r>
        <w:rPr>
          <w:rFonts w:hint="eastAsia" w:ascii="宋体" w:hAnsi="宋体" w:eastAsia="宋体" w:cs="宋体"/>
          <w:color w:val="000000" w:themeColor="text1"/>
          <w:spacing w:val="13"/>
          <w:sz w:val="21"/>
          <w:szCs w:val="21"/>
          <w:highlight w:val="none"/>
          <w:lang w:val="en-US" w:eastAsia="en-US"/>
          <w14:textFill>
            <w14:solidFill>
              <w14:schemeClr w14:val="tx1"/>
            </w14:solidFill>
          </w14:textFill>
        </w:rPr>
        <w:t>标准及采购人考核要求。</w:t>
      </w:r>
    </w:p>
    <w:p w14:paraId="21858A0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13"/>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13"/>
          <w:sz w:val="21"/>
          <w:szCs w:val="21"/>
          <w:highlight w:val="none"/>
          <w:lang w:val="en-US" w:eastAsia="zh-CN"/>
          <w14:textFill>
            <w14:solidFill>
              <w14:schemeClr w14:val="tx1"/>
            </w14:solidFill>
          </w14:textFill>
        </w:rPr>
        <w:t>3.考核（验收）标准和方法：</w:t>
      </w:r>
      <w:r>
        <w:rPr>
          <w:rFonts w:hint="eastAsia" w:ascii="宋体" w:hAnsi="宋体" w:eastAsia="宋体" w:cs="宋体"/>
          <w:color w:val="000000" w:themeColor="text1"/>
          <w:spacing w:val="13"/>
          <w:sz w:val="21"/>
          <w:szCs w:val="21"/>
          <w:highlight w:val="none"/>
          <w:lang w:val="en-US" w:eastAsia="en-US"/>
          <w14:textFill>
            <w14:solidFill>
              <w14:schemeClr w14:val="tx1"/>
            </w14:solidFill>
          </w14:textFill>
        </w:rPr>
        <w:t>帮助残疾人提高就业创业技能，提高就业竞争力和自主就业创业愿望能力，参训残疾人满意度≥90%。按照相关规定，培训全部完成后，由第三方评估机构对全部培训情况进行全面绩效评估，需达到各项要求方算合格。</w:t>
      </w:r>
    </w:p>
    <w:p w14:paraId="389DFA7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4" w:firstLineChars="200"/>
        <w:textAlignment w:val="baseline"/>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14:textFill>
            <w14:solidFill>
              <w14:schemeClr w14:val="tx1"/>
            </w14:solidFill>
          </w14:textFill>
        </w:rPr>
        <w:t>第四条</w:t>
      </w: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3"/>
          <w:sz w:val="21"/>
          <w:szCs w:val="21"/>
          <w:highlight w:val="none"/>
          <w14:textFill>
            <w14:solidFill>
              <w14:schemeClr w14:val="tx1"/>
            </w14:solidFill>
          </w14:textFill>
        </w:rPr>
        <w:t>服务费用</w:t>
      </w:r>
    </w:p>
    <w:p w14:paraId="52D9D81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80" w:firstLineChars="200"/>
        <w:textAlignment w:val="baseline"/>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5"/>
          <w:sz w:val="21"/>
          <w:szCs w:val="21"/>
          <w:highlight w:val="none"/>
          <w14:textFill>
            <w14:solidFill>
              <w14:schemeClr w14:val="tx1"/>
            </w14:solidFill>
          </w14:textFill>
        </w:rPr>
        <w:t>1.服务总费用为人民币(大写)</w:t>
      </w:r>
      <w:r>
        <w:rPr>
          <w:rFonts w:hint="eastAsia" w:ascii="宋体" w:hAnsi="宋体" w:eastAsia="宋体" w:cs="宋体"/>
          <w:color w:val="000000" w:themeColor="text1"/>
          <w:spacing w:val="-24"/>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5"/>
          <w:sz w:val="21"/>
          <w:szCs w:val="21"/>
          <w:highlight w:val="none"/>
          <w14:textFill>
            <w14:solidFill>
              <w14:schemeClr w14:val="tx1"/>
            </w14:solidFill>
          </w14:textFill>
        </w:rPr>
        <w:t>:</w:t>
      </w:r>
      <w:r>
        <w:rPr>
          <w:rFonts w:hint="eastAsia" w:ascii="宋体" w:hAnsi="宋体" w:eastAsia="宋体" w:cs="宋体"/>
          <w:color w:val="000000" w:themeColor="text1"/>
          <w:spacing w:val="15"/>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80"/>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5"/>
          <w:sz w:val="21"/>
          <w:szCs w:val="21"/>
          <w:highlight w:val="none"/>
          <w14:textFill>
            <w14:solidFill>
              <w14:schemeClr w14:val="tx1"/>
            </w14:solidFill>
          </w14:textFill>
        </w:rPr>
        <w:t>元 ，¥</w:t>
      </w:r>
      <w:r>
        <w:rPr>
          <w:rFonts w:hint="eastAsia" w:ascii="宋体" w:hAnsi="宋体" w:eastAsia="宋体" w:cs="宋体"/>
          <w:color w:val="000000" w:themeColor="text1"/>
          <w:spacing w:val="14"/>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sz w:val="21"/>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87"/>
          <w:sz w:val="21"/>
          <w:szCs w:val="21"/>
          <w:highlight w:val="none"/>
          <w14:textFill>
            <w14:solidFill>
              <w14:schemeClr w14:val="tx1"/>
            </w14:solidFill>
          </w14:textFill>
        </w:rPr>
        <w:t xml:space="preserve"> </w:t>
      </w:r>
      <w:r>
        <w:rPr>
          <w:rFonts w:hint="eastAsia" w:ascii="宋体" w:hAnsi="宋体" w:eastAsia="宋体" w:cs="宋体"/>
          <w:color w:val="000000" w:themeColor="text1"/>
          <w:spacing w:val="-87"/>
          <w:sz w:val="21"/>
          <w:szCs w:val="21"/>
          <w:highlight w:val="none"/>
          <w:lang w:eastAsia="zh-CN"/>
          <w14:textFill>
            <w14:solidFill>
              <w14:schemeClr w14:val="tx1"/>
            </w14:solidFill>
          </w14:textFill>
        </w:rPr>
        <w:t>。</w:t>
      </w:r>
    </w:p>
    <w:p w14:paraId="1BA0BF5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13"/>
          <w:sz w:val="21"/>
          <w:szCs w:val="21"/>
          <w:highlight w:val="none"/>
          <w14:textFill>
            <w14:solidFill>
              <w14:schemeClr w14:val="tx1"/>
            </w14:solidFill>
          </w14:textFill>
        </w:rPr>
        <w:t>2.本合同执行期间服务总费用不变，甲方无须另向</w:t>
      </w:r>
      <w:r>
        <w:rPr>
          <w:rFonts w:hint="eastAsia" w:ascii="宋体" w:hAnsi="宋体" w:eastAsia="宋体" w:cs="宋体"/>
          <w:color w:val="000000" w:themeColor="text1"/>
          <w:spacing w:val="12"/>
          <w:sz w:val="21"/>
          <w:szCs w:val="21"/>
          <w:highlight w:val="none"/>
          <w14:textFill>
            <w14:solidFill>
              <w14:schemeClr w14:val="tx1"/>
            </w14:solidFill>
          </w14:textFill>
        </w:rPr>
        <w:t>乙方支付本合同规定之外的其他任</w:t>
      </w:r>
      <w:r>
        <w:rPr>
          <w:rFonts w:hint="eastAsia" w:ascii="宋体" w:hAnsi="宋体" w:eastAsia="宋体" w:cs="宋体"/>
          <w:color w:val="000000" w:themeColor="text1"/>
          <w:spacing w:val="2"/>
          <w:sz w:val="21"/>
          <w:szCs w:val="21"/>
          <w:highlight w:val="none"/>
          <w14:textFill>
            <w14:solidFill>
              <w14:schemeClr w14:val="tx1"/>
            </w14:solidFill>
          </w14:textFill>
        </w:rPr>
        <w:t>何费用。</w:t>
      </w:r>
    </w:p>
    <w:p w14:paraId="62F7DE52">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2"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第五条</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服务费支付方式</w:t>
      </w:r>
    </w:p>
    <w:p w14:paraId="45DF4B26">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1.付款方式：</w:t>
      </w:r>
    </w:p>
    <w:p w14:paraId="1CA3BB8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9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8"/>
          <w:sz w:val="21"/>
          <w:szCs w:val="21"/>
          <w:highlight w:val="none"/>
          <w14:textFill>
            <w14:solidFill>
              <w14:schemeClr w14:val="tx1"/>
            </w14:solidFill>
          </w14:textFill>
        </w:rPr>
        <w:t>(1)培训完成，全部验收合格后，以银行转账方式支付 ，达到付款条件起 7 日内，支付合同总金额的 100.00%。</w:t>
      </w:r>
    </w:p>
    <w:p w14:paraId="43495BA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4"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1"/>
          <w:sz w:val="21"/>
          <w:szCs w:val="21"/>
          <w:highlight w:val="none"/>
          <w14:textFill>
            <w14:solidFill>
              <w14:schemeClr w14:val="tx1"/>
            </w14:solidFill>
          </w14:textFill>
        </w:rPr>
        <w:t>(2)乙方须向甲方出具合法有效的完税发票，甲方进行支付结算。</w:t>
      </w:r>
    </w:p>
    <w:p w14:paraId="04743C9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2.结算方式：银行转账</w:t>
      </w:r>
    </w:p>
    <w:p w14:paraId="08941BD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86"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16"/>
          <w:sz w:val="21"/>
          <w:szCs w:val="21"/>
          <w:highlight w:val="none"/>
          <w14:textFill>
            <w14:solidFill>
              <w14:schemeClr w14:val="tx1"/>
            </w14:solidFill>
          </w14:textFill>
        </w:rPr>
        <w:t>第六条</w:t>
      </w:r>
      <w:r>
        <w:rPr>
          <w:rFonts w:hint="eastAsia" w:ascii="宋体" w:hAnsi="宋体" w:eastAsia="宋体" w:cs="宋体"/>
          <w:b/>
          <w:bCs/>
          <w:color w:val="000000" w:themeColor="text1"/>
          <w:spacing w:val="16"/>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6"/>
          <w:sz w:val="21"/>
          <w:szCs w:val="21"/>
          <w:highlight w:val="none"/>
          <w14:textFill>
            <w14:solidFill>
              <w14:schemeClr w14:val="tx1"/>
            </w14:solidFill>
          </w14:textFill>
        </w:rPr>
        <w:t>知识产权(若有)</w:t>
      </w:r>
    </w:p>
    <w:p w14:paraId="691B3A1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3"/>
          <w:sz w:val="21"/>
          <w:szCs w:val="21"/>
          <w:highlight w:val="none"/>
          <w14:textFill>
            <w14:solidFill>
              <w14:schemeClr w14:val="tx1"/>
            </w14:solidFill>
          </w14:textFill>
        </w:rPr>
        <w:t>乙方应保证所提供的服务或其任何一部分均不会侵犯任何第三方的专利权、商</w:t>
      </w:r>
      <w:r>
        <w:rPr>
          <w:rFonts w:hint="eastAsia" w:ascii="宋体" w:hAnsi="宋体" w:eastAsia="宋体" w:cs="宋体"/>
          <w:color w:val="000000" w:themeColor="text1"/>
          <w:spacing w:val="12"/>
          <w:sz w:val="21"/>
          <w:szCs w:val="21"/>
          <w:highlight w:val="none"/>
          <w14:textFill>
            <w14:solidFill>
              <w14:schemeClr w14:val="tx1"/>
            </w14:solidFill>
          </w14:textFill>
        </w:rPr>
        <w:t>标权或</w:t>
      </w:r>
      <w:r>
        <w:rPr>
          <w:rFonts w:hint="eastAsia" w:ascii="宋体" w:hAnsi="宋体" w:eastAsia="宋体" w:cs="宋体"/>
          <w:color w:val="000000" w:themeColor="text1"/>
          <w:spacing w:val="2"/>
          <w:sz w:val="21"/>
          <w:szCs w:val="21"/>
          <w:highlight w:val="none"/>
          <w14:textFill>
            <w14:solidFill>
              <w14:schemeClr w14:val="tx1"/>
            </w14:solidFill>
          </w14:textFill>
        </w:rPr>
        <w:t>著作权。</w:t>
      </w:r>
    </w:p>
    <w:p w14:paraId="23273B6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0"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12"/>
          <w:sz w:val="21"/>
          <w:szCs w:val="21"/>
          <w:highlight w:val="none"/>
          <w14:textFill>
            <w14:solidFill>
              <w14:schemeClr w14:val="tx1"/>
            </w14:solidFill>
          </w14:textFill>
        </w:rPr>
        <w:t>第七条</w:t>
      </w:r>
      <w:r>
        <w:rPr>
          <w:rFonts w:hint="eastAsia" w:ascii="宋体" w:hAnsi="宋体" w:eastAsia="宋体" w:cs="宋体"/>
          <w:b/>
          <w:bCs/>
          <w:color w:val="000000" w:themeColor="text1"/>
          <w:spacing w:val="1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2"/>
          <w:sz w:val="21"/>
          <w:szCs w:val="21"/>
          <w:highlight w:val="none"/>
          <w14:textFill>
            <w14:solidFill>
              <w14:schemeClr w14:val="tx1"/>
            </w14:solidFill>
          </w14:textFill>
        </w:rPr>
        <w:t>无产权瑕疵条款(若有)</w:t>
      </w:r>
    </w:p>
    <w:p w14:paraId="74581DF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7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3"/>
          <w:sz w:val="21"/>
          <w:szCs w:val="21"/>
          <w:highlight w:val="none"/>
          <w14:textFill>
            <w14:solidFill>
              <w14:schemeClr w14:val="tx1"/>
            </w14:solidFill>
          </w14:textFill>
        </w:rPr>
        <w:t>乙方保证所提供的服务的所有权完全属于乙方且无任何抵押、查封等产权瑕疵。如有</w:t>
      </w:r>
      <w:r>
        <w:rPr>
          <w:rFonts w:hint="eastAsia" w:ascii="宋体" w:hAnsi="宋体" w:eastAsia="宋体" w:cs="宋体"/>
          <w:color w:val="000000" w:themeColor="text1"/>
          <w:spacing w:val="9"/>
          <w:sz w:val="21"/>
          <w:szCs w:val="21"/>
          <w:highlight w:val="none"/>
          <w14:textFill>
            <w14:solidFill>
              <w14:schemeClr w14:val="tx1"/>
            </w14:solidFill>
          </w14:textFill>
        </w:rPr>
        <w:t>产权瑕疵的，视为乙方违约。乙方应负担由此而产生的一切</w:t>
      </w:r>
      <w:r>
        <w:rPr>
          <w:rFonts w:hint="eastAsia" w:ascii="宋体" w:hAnsi="宋体" w:eastAsia="宋体" w:cs="宋体"/>
          <w:color w:val="000000" w:themeColor="text1"/>
          <w:spacing w:val="8"/>
          <w:sz w:val="21"/>
          <w:szCs w:val="21"/>
          <w:highlight w:val="none"/>
          <w14:textFill>
            <w14:solidFill>
              <w14:schemeClr w14:val="tx1"/>
            </w14:solidFill>
          </w14:textFill>
        </w:rPr>
        <w:t>损失。</w:t>
      </w:r>
    </w:p>
    <w:p w14:paraId="1178F2F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4"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第八条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甲方的权利和义务</w:t>
      </w:r>
    </w:p>
    <w:p w14:paraId="6E3BF98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1.甲方有权对合同规定范围内乙方的服务行为进行监督和检查，拥有监管权。有权定</w:t>
      </w:r>
      <w:r>
        <w:rPr>
          <w:rFonts w:hint="eastAsia" w:ascii="宋体" w:hAnsi="宋体" w:eastAsia="宋体" w:cs="宋体"/>
          <w:color w:val="000000" w:themeColor="text1"/>
          <w:spacing w:val="10"/>
          <w:sz w:val="21"/>
          <w:szCs w:val="21"/>
          <w:highlight w:val="none"/>
          <w14:textFill>
            <w14:solidFill>
              <w14:schemeClr w14:val="tx1"/>
            </w14:solidFill>
          </w14:textFill>
        </w:rPr>
        <w:t>期核对乙方提供服务所配备的人员数量。对甲方认为不合理的部分有权下达整改通知书，</w:t>
      </w:r>
      <w:r>
        <w:rPr>
          <w:rFonts w:hint="eastAsia" w:ascii="宋体" w:hAnsi="宋体" w:eastAsia="宋体" w:cs="宋体"/>
          <w:color w:val="000000" w:themeColor="text1"/>
          <w:spacing w:val="5"/>
          <w:sz w:val="21"/>
          <w:szCs w:val="21"/>
          <w:highlight w:val="none"/>
          <w14:textFill>
            <w14:solidFill>
              <w14:schemeClr w14:val="tx1"/>
            </w14:solidFill>
          </w14:textFill>
        </w:rPr>
        <w:t>并要求乙方限期整改。</w:t>
      </w:r>
    </w:p>
    <w:p w14:paraId="719E9B0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2.甲方有权依据双方签订的考评办法对乙方提供的服务进行定期考评。当考评结果未达到标准时，有权依据考评办法约定的数额扣除履约</w:t>
      </w:r>
      <w:r>
        <w:rPr>
          <w:rFonts w:hint="eastAsia" w:ascii="宋体" w:hAnsi="宋体" w:eastAsia="宋体" w:cs="宋体"/>
          <w:color w:val="000000" w:themeColor="text1"/>
          <w:spacing w:val="8"/>
          <w:sz w:val="21"/>
          <w:szCs w:val="21"/>
          <w:highlight w:val="none"/>
          <w14:textFill>
            <w14:solidFill>
              <w14:schemeClr w14:val="tx1"/>
            </w14:solidFill>
          </w14:textFill>
        </w:rPr>
        <w:t>保证金</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如有</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14:textFill>
            <w14:solidFill>
              <w14:schemeClr w14:val="tx1"/>
            </w14:solidFill>
          </w14:textFill>
        </w:rPr>
        <w:t>。</w:t>
      </w:r>
    </w:p>
    <w:p w14:paraId="1D988DB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3.负责检查监督乙方管理工作的实施及制度的执行情况。</w:t>
      </w:r>
    </w:p>
    <w:p w14:paraId="50A9C32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4.根据本合同规定，按时向乙方支付应付服务费用。</w:t>
      </w:r>
    </w:p>
    <w:p w14:paraId="3C26F14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outlineLvl w:val="2"/>
        <w:rPr>
          <w:rFonts w:hint="eastAsia" w:ascii="宋体" w:hAnsi="宋体" w:eastAsia="宋体" w:cs="宋体"/>
          <w:color w:val="000000" w:themeColor="text1"/>
          <w:spacing w:val="7"/>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5.国家法律、法规所规定由甲方承担的其它责任。</w:t>
      </w:r>
    </w:p>
    <w:p w14:paraId="42C4070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4"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第九条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乙方的权利和义务</w:t>
      </w:r>
    </w:p>
    <w:p w14:paraId="6215AE5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1.对本合同规定的委托服务范围内的项目享有管理权及服务义</w:t>
      </w:r>
      <w:r>
        <w:rPr>
          <w:rFonts w:hint="eastAsia" w:ascii="宋体" w:hAnsi="宋体" w:eastAsia="宋体" w:cs="宋体"/>
          <w:color w:val="000000" w:themeColor="text1"/>
          <w:spacing w:val="7"/>
          <w:sz w:val="21"/>
          <w:szCs w:val="21"/>
          <w:highlight w:val="none"/>
          <w14:textFill>
            <w14:solidFill>
              <w14:schemeClr w14:val="tx1"/>
            </w14:solidFill>
          </w14:textFill>
        </w:rPr>
        <w:t>务。</w:t>
      </w:r>
    </w:p>
    <w:p w14:paraId="021A856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2.根据本合同的规定向甲方收取相关服务费用，并有权在本项目管理范围内管理及合</w:t>
      </w:r>
      <w:r>
        <w:rPr>
          <w:rFonts w:hint="eastAsia" w:ascii="宋体" w:hAnsi="宋体" w:eastAsia="宋体" w:cs="宋体"/>
          <w:color w:val="000000" w:themeColor="text1"/>
          <w:spacing w:val="6"/>
          <w:sz w:val="21"/>
          <w:szCs w:val="21"/>
          <w:highlight w:val="none"/>
          <w14:textFill>
            <w14:solidFill>
              <w14:schemeClr w14:val="tx1"/>
            </w14:solidFill>
          </w14:textFill>
        </w:rPr>
        <w:t xml:space="preserve"> </w:t>
      </w:r>
      <w:r>
        <w:rPr>
          <w:rFonts w:hint="eastAsia" w:ascii="宋体" w:hAnsi="宋体" w:eastAsia="宋体" w:cs="宋体"/>
          <w:color w:val="000000" w:themeColor="text1"/>
          <w:spacing w:val="4"/>
          <w:sz w:val="21"/>
          <w:szCs w:val="21"/>
          <w:highlight w:val="none"/>
          <w14:textFill>
            <w14:solidFill>
              <w14:schemeClr w14:val="tx1"/>
            </w14:solidFill>
          </w14:textFill>
        </w:rPr>
        <w:t>理使用。</w:t>
      </w:r>
    </w:p>
    <w:p w14:paraId="0479A8C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3.及时向甲方通告本项目服务范围内有关服务的重大事项，及时配</w:t>
      </w:r>
      <w:r>
        <w:rPr>
          <w:rFonts w:hint="eastAsia" w:ascii="宋体" w:hAnsi="宋体" w:eastAsia="宋体" w:cs="宋体"/>
          <w:color w:val="000000" w:themeColor="text1"/>
          <w:spacing w:val="8"/>
          <w:sz w:val="21"/>
          <w:szCs w:val="21"/>
          <w:highlight w:val="none"/>
          <w14:textFill>
            <w14:solidFill>
              <w14:schemeClr w14:val="tx1"/>
            </w14:solidFill>
          </w14:textFill>
        </w:rPr>
        <w:t>合处理投诉。</w:t>
      </w:r>
    </w:p>
    <w:p w14:paraId="7D4A699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4.接受项目行业管理部门及政府有关部门的指</w:t>
      </w:r>
      <w:r>
        <w:rPr>
          <w:rFonts w:hint="eastAsia" w:ascii="宋体" w:hAnsi="宋体" w:eastAsia="宋体" w:cs="宋体"/>
          <w:color w:val="000000" w:themeColor="text1"/>
          <w:spacing w:val="7"/>
          <w:sz w:val="21"/>
          <w:szCs w:val="21"/>
          <w:highlight w:val="none"/>
          <w14:textFill>
            <w14:solidFill>
              <w14:schemeClr w14:val="tx1"/>
            </w14:solidFill>
          </w14:textFill>
        </w:rPr>
        <w:t>导，接受甲方的监督。</w:t>
      </w:r>
    </w:p>
    <w:p w14:paraId="035B1B7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5.国家法律、法规所规定由乙方承担的其它责</w:t>
      </w:r>
      <w:r>
        <w:rPr>
          <w:rFonts w:hint="eastAsia" w:ascii="宋体" w:hAnsi="宋体" w:eastAsia="宋体" w:cs="宋体"/>
          <w:color w:val="000000" w:themeColor="text1"/>
          <w:spacing w:val="6"/>
          <w:sz w:val="21"/>
          <w:szCs w:val="21"/>
          <w:highlight w:val="none"/>
          <w14:textFill>
            <w14:solidFill>
              <w14:schemeClr w14:val="tx1"/>
            </w14:solidFill>
          </w14:textFill>
        </w:rPr>
        <w:t>任。</w:t>
      </w:r>
    </w:p>
    <w:p w14:paraId="20C8EFF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0"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第十条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违约责任</w:t>
      </w:r>
    </w:p>
    <w:p w14:paraId="05B38C2B">
      <w:pPr>
        <w:pStyle w:val="2"/>
        <w:keepNext w:val="0"/>
        <w:keepLines w:val="0"/>
        <w:pageBreakBefore w:val="0"/>
        <w:widowControl/>
        <w:kinsoku w:val="0"/>
        <w:wordWrap/>
        <w:overflowPunct/>
        <w:topLinePunct w:val="0"/>
        <w:autoSpaceDE w:val="0"/>
        <w:autoSpaceDN w:val="0"/>
        <w:bidi w:val="0"/>
        <w:adjustRightInd w:val="0"/>
        <w:snapToGrid w:val="0"/>
        <w:spacing w:line="520" w:lineRule="exact"/>
        <w:ind w:right="0" w:firstLine="460" w:firstLineChars="200"/>
        <w:jc w:val="both"/>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0"/>
          <w:sz w:val="21"/>
          <w:szCs w:val="21"/>
          <w:highlight w:val="none"/>
          <w14:textFill>
            <w14:solidFill>
              <w14:schemeClr w14:val="tx1"/>
            </w14:solidFill>
          </w14:textFill>
        </w:rPr>
        <w:t>由于一方的过错造成本合同不能履行或不能完全履行时，由过错方承担下列违约责任：</w:t>
      </w:r>
    </w:p>
    <w:p w14:paraId="7092886C">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4"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6"/>
          <w:sz w:val="21"/>
          <w:szCs w:val="21"/>
          <w:highlight w:val="none"/>
          <w14:textFill>
            <w14:solidFill>
              <w14:schemeClr w14:val="tx1"/>
            </w14:solidFill>
          </w14:textFill>
        </w:rPr>
        <w:t>1</w:t>
      </w:r>
      <w:r>
        <w:rPr>
          <w:rFonts w:hint="eastAsia" w:ascii="宋体" w:hAnsi="宋体" w:eastAsia="宋体" w:cs="宋体"/>
          <w:color w:val="000000" w:themeColor="text1"/>
          <w:spacing w:val="6"/>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6"/>
          <w:sz w:val="21"/>
          <w:szCs w:val="21"/>
          <w:highlight w:val="none"/>
          <w14:textFill>
            <w14:solidFill>
              <w14:schemeClr w14:val="tx1"/>
            </w14:solidFill>
          </w14:textFill>
        </w:rPr>
        <w:t>继续履行合同。</w:t>
      </w:r>
    </w:p>
    <w:p w14:paraId="7A0CE7C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0"/>
          <w:sz w:val="21"/>
          <w:szCs w:val="21"/>
          <w:highlight w:val="none"/>
          <w14:textFill>
            <w14:solidFill>
              <w14:schemeClr w14:val="tx1"/>
            </w14:solidFill>
          </w14:textFill>
        </w:rPr>
        <w:t>2</w:t>
      </w:r>
      <w:r>
        <w:rPr>
          <w:rFonts w:hint="eastAsia" w:ascii="宋体" w:hAnsi="宋体" w:eastAsia="宋体" w:cs="宋体"/>
          <w:color w:val="000000" w:themeColor="text1"/>
          <w:spacing w:val="10"/>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10"/>
          <w:sz w:val="21"/>
          <w:szCs w:val="21"/>
          <w:highlight w:val="none"/>
          <w14:textFill>
            <w14:solidFill>
              <w14:schemeClr w14:val="tx1"/>
            </w14:solidFill>
          </w14:textFill>
        </w:rPr>
        <w:t>向守约方支付违约金，违约金的支付方法</w:t>
      </w:r>
      <w:r>
        <w:rPr>
          <w:rFonts w:hint="eastAsia" w:ascii="宋体" w:hAnsi="宋体" w:eastAsia="宋体" w:cs="宋体"/>
          <w:color w:val="000000" w:themeColor="text1"/>
          <w:spacing w:val="9"/>
          <w:sz w:val="21"/>
          <w:szCs w:val="21"/>
          <w:highlight w:val="none"/>
          <w14:textFill>
            <w14:solidFill>
              <w14:schemeClr w14:val="tx1"/>
            </w14:solidFill>
          </w14:textFill>
        </w:rPr>
        <w:t>为：</w:t>
      </w:r>
    </w:p>
    <w:p w14:paraId="48DC9159">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04"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21"/>
          <w:sz w:val="21"/>
          <w:szCs w:val="21"/>
          <w:highlight w:val="none"/>
          <w14:textFill>
            <w14:solidFill>
              <w14:schemeClr w14:val="tx1"/>
            </w14:solidFill>
          </w14:textFill>
        </w:rPr>
        <w:t>(1)乙方逾期完成工作成果的，每逾期一日，乙方向甲方支付违约金1</w:t>
      </w:r>
      <w:r>
        <w:rPr>
          <w:rFonts w:hint="eastAsia" w:ascii="宋体" w:hAnsi="宋体" w:eastAsia="宋体" w:cs="宋体"/>
          <w:color w:val="000000" w:themeColor="text1"/>
          <w:spacing w:val="20"/>
          <w:sz w:val="21"/>
          <w:szCs w:val="21"/>
          <w:highlight w:val="none"/>
          <w14:textFill>
            <w14:solidFill>
              <w14:schemeClr w14:val="tx1"/>
            </w14:solidFill>
          </w14:textFill>
        </w:rPr>
        <w:t>000元，逾</w:t>
      </w:r>
      <w:r>
        <w:rPr>
          <w:rFonts w:hint="eastAsia" w:ascii="宋体" w:hAnsi="宋体" w:eastAsia="宋体" w:cs="宋体"/>
          <w:color w:val="000000" w:themeColor="text1"/>
          <w:spacing w:val="19"/>
          <w:sz w:val="21"/>
          <w:szCs w:val="21"/>
          <w:highlight w:val="none"/>
          <w14:textFill>
            <w14:solidFill>
              <w14:schemeClr w14:val="tx1"/>
            </w14:solidFill>
          </w14:textFill>
        </w:rPr>
        <w:t>期超过30日，甲方有权解除合同，乙方应一次性向甲方支付合同总价款20%违约金，违</w:t>
      </w:r>
      <w:r>
        <w:rPr>
          <w:rFonts w:hint="eastAsia" w:ascii="宋体" w:hAnsi="宋体" w:eastAsia="宋体" w:cs="宋体"/>
          <w:color w:val="000000" w:themeColor="text1"/>
          <w:spacing w:val="7"/>
          <w:sz w:val="21"/>
          <w:szCs w:val="21"/>
          <w:highlight w:val="none"/>
          <w14:textFill>
            <w14:solidFill>
              <w14:schemeClr w14:val="tx1"/>
            </w14:solidFill>
          </w14:textFill>
        </w:rPr>
        <w:t>约金不足以弥补甲方损失的，乙方应予以补足。</w:t>
      </w:r>
    </w:p>
    <w:p w14:paraId="5741E0A6">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9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8"/>
          <w:sz w:val="21"/>
          <w:szCs w:val="21"/>
          <w:highlight w:val="none"/>
          <w14:textFill>
            <w14:solidFill>
              <w14:schemeClr w14:val="tx1"/>
            </w14:solidFill>
          </w14:textFill>
        </w:rPr>
        <w:t>(2)甲方逾期付款的，乙方应予以书面催告，甲方在</w:t>
      </w:r>
      <w:r>
        <w:rPr>
          <w:rFonts w:hint="eastAsia" w:ascii="宋体" w:hAnsi="宋体" w:eastAsia="宋体" w:cs="宋体"/>
          <w:color w:val="000000" w:themeColor="text1"/>
          <w:spacing w:val="17"/>
          <w:sz w:val="21"/>
          <w:szCs w:val="21"/>
          <w:highlight w:val="none"/>
          <w14:textFill>
            <w14:solidFill>
              <w14:schemeClr w14:val="tx1"/>
            </w14:solidFill>
          </w14:textFill>
        </w:rPr>
        <w:t>接到乙方书面催告之日起15日</w:t>
      </w:r>
      <w:r>
        <w:rPr>
          <w:rFonts w:hint="eastAsia" w:ascii="宋体" w:hAnsi="宋体" w:eastAsia="宋体" w:cs="宋体"/>
          <w:color w:val="000000" w:themeColor="text1"/>
          <w:spacing w:val="8"/>
          <w:sz w:val="21"/>
          <w:szCs w:val="21"/>
          <w:highlight w:val="none"/>
          <w14:textFill>
            <w14:solidFill>
              <w14:schemeClr w14:val="tx1"/>
            </w14:solidFill>
          </w14:textFill>
        </w:rPr>
        <w:t>内仍</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未</w:t>
      </w:r>
      <w:r>
        <w:rPr>
          <w:rFonts w:hint="eastAsia" w:ascii="宋体" w:hAnsi="宋体" w:eastAsia="宋体" w:cs="宋体"/>
          <w:color w:val="000000" w:themeColor="text1"/>
          <w:spacing w:val="8"/>
          <w:sz w:val="21"/>
          <w:szCs w:val="21"/>
          <w:highlight w:val="none"/>
          <w14:textFill>
            <w14:solidFill>
              <w14:schemeClr w14:val="tx1"/>
            </w14:solidFill>
          </w14:textFill>
        </w:rPr>
        <w:t>付款的，自催告期满，按日向乙方支付应付未付价款的千分之一的违约金。</w:t>
      </w:r>
    </w:p>
    <w:p w14:paraId="40DC1093">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3、违约造成对方损失的，应赔偿守约方的损失。</w:t>
      </w:r>
    </w:p>
    <w:p w14:paraId="278ACA72">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4"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第十一条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不可抗力事件处理</w:t>
      </w:r>
    </w:p>
    <w:p w14:paraId="7621762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2"/>
          <w:sz w:val="21"/>
          <w:szCs w:val="21"/>
          <w:highlight w:val="none"/>
          <w14:textFill>
            <w14:solidFill>
              <w14:schemeClr w14:val="tx1"/>
            </w14:solidFill>
          </w14:textFill>
        </w:rPr>
        <w:t>1.在合同有效期内，任何一方因不可抗力事件导致不能履行</w:t>
      </w:r>
      <w:r>
        <w:rPr>
          <w:rFonts w:hint="eastAsia" w:ascii="宋体" w:hAnsi="宋体" w:eastAsia="宋体" w:cs="宋体"/>
          <w:color w:val="000000" w:themeColor="text1"/>
          <w:spacing w:val="11"/>
          <w:sz w:val="21"/>
          <w:szCs w:val="21"/>
          <w:highlight w:val="none"/>
          <w14:textFill>
            <w14:solidFill>
              <w14:schemeClr w14:val="tx1"/>
            </w14:solidFill>
          </w14:textFill>
        </w:rPr>
        <w:t>合同，则合同履行期可延</w:t>
      </w:r>
      <w:r>
        <w:rPr>
          <w:rFonts w:hint="eastAsia" w:ascii="宋体" w:hAnsi="宋体" w:eastAsia="宋体" w:cs="宋体"/>
          <w:color w:val="000000" w:themeColor="text1"/>
          <w:spacing w:val="7"/>
          <w:sz w:val="21"/>
          <w:szCs w:val="21"/>
          <w:highlight w:val="none"/>
          <w14:textFill>
            <w14:solidFill>
              <w14:schemeClr w14:val="tx1"/>
            </w14:solidFill>
          </w14:textFill>
        </w:rPr>
        <w:t>长，其延长期与不可抗力影响期相同。</w:t>
      </w:r>
    </w:p>
    <w:p w14:paraId="0719839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5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2.不可抗力事件发生后，应立即通知对方，并寄送有关权威机构出具的证明。</w:t>
      </w:r>
    </w:p>
    <w:p w14:paraId="72F55038">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64"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1"/>
          <w:sz w:val="21"/>
          <w:szCs w:val="21"/>
          <w:highlight w:val="none"/>
          <w14:textFill>
            <w14:solidFill>
              <w14:schemeClr w14:val="tx1"/>
            </w14:solidFill>
          </w14:textFill>
        </w:rPr>
        <w:t>3.不可抗力事件延续</w:t>
      </w:r>
      <w:r>
        <w:rPr>
          <w:rFonts w:hint="eastAsia" w:ascii="宋体" w:hAnsi="宋体" w:eastAsia="宋体" w:cs="宋体"/>
          <w:color w:val="000000" w:themeColor="text1"/>
          <w:spacing w:val="1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1"/>
          <w:sz w:val="21"/>
          <w:szCs w:val="21"/>
          <w:highlight w:val="none"/>
          <w14:textFill>
            <w14:solidFill>
              <w14:schemeClr w14:val="tx1"/>
            </w14:solidFill>
          </w14:textFill>
        </w:rPr>
        <w:t>天以上，双方应通过友好协商，确定是</w:t>
      </w:r>
      <w:r>
        <w:rPr>
          <w:rFonts w:hint="eastAsia" w:ascii="宋体" w:hAnsi="宋体" w:eastAsia="宋体" w:cs="宋体"/>
          <w:color w:val="000000" w:themeColor="text1"/>
          <w:spacing w:val="10"/>
          <w:sz w:val="21"/>
          <w:szCs w:val="21"/>
          <w:highlight w:val="none"/>
          <w14:textFill>
            <w14:solidFill>
              <w14:schemeClr w14:val="tx1"/>
            </w14:solidFill>
          </w14:textFill>
        </w:rPr>
        <w:t>否继续履行合同。</w:t>
      </w:r>
    </w:p>
    <w:p w14:paraId="7B7D885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8"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1"/>
          <w:sz w:val="21"/>
          <w:szCs w:val="21"/>
          <w:highlight w:val="none"/>
          <w14:textFill>
            <w14:solidFill>
              <w14:schemeClr w14:val="tx1"/>
            </w14:solidFill>
          </w14:textFill>
        </w:rPr>
        <w:t>第十二条</w:t>
      </w:r>
      <w:r>
        <w:rPr>
          <w:rFonts w:hint="eastAsia" w:ascii="宋体" w:hAnsi="宋体" w:eastAsia="宋体" w:cs="宋体"/>
          <w:b/>
          <w:bCs/>
          <w:color w:val="000000" w:themeColor="text1"/>
          <w:spacing w:val="-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1"/>
          <w:szCs w:val="21"/>
          <w:highlight w:val="none"/>
          <w14:textFill>
            <w14:solidFill>
              <w14:schemeClr w14:val="tx1"/>
            </w14:solidFill>
          </w14:textFill>
        </w:rPr>
        <w:t>合同的变更和终止</w:t>
      </w:r>
    </w:p>
    <w:p w14:paraId="6ECBFFB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88" w:firstLineChars="200"/>
        <w:textAlignment w:val="baseline"/>
        <w:outlineLvl w:val="2"/>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17"/>
          <w:sz w:val="21"/>
          <w:szCs w:val="21"/>
          <w:highlight w:val="none"/>
          <w14:textFill>
            <w14:solidFill>
              <w14:schemeClr w14:val="tx1"/>
            </w14:solidFill>
          </w14:textFill>
        </w:rPr>
        <w:t>除《中华人民共和国政府采购法》第49条、第50条第二款规定的情形外，本合同一</w:t>
      </w:r>
      <w:r>
        <w:rPr>
          <w:rFonts w:hint="eastAsia" w:ascii="宋体" w:hAnsi="宋体" w:eastAsia="宋体" w:cs="宋体"/>
          <w:color w:val="000000" w:themeColor="text1"/>
          <w:spacing w:val="8"/>
          <w:sz w:val="21"/>
          <w:szCs w:val="21"/>
          <w:highlight w:val="none"/>
          <w14:textFill>
            <w14:solidFill>
              <w14:schemeClr w14:val="tx1"/>
            </w14:solidFill>
          </w14:textFill>
        </w:rPr>
        <w:t>经签订，甲乙双方不得擅自变更、中止或终止合同。</w:t>
      </w:r>
    </w:p>
    <w:p w14:paraId="4FE3EC1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2"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第十三条</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解决合同纠纷的方式</w:t>
      </w:r>
    </w:p>
    <w:p w14:paraId="2DC4F3CB">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8"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1.在执行本合同中发生的或与本合同有关的争端，双方应通过友好协商解决，经协商</w:t>
      </w:r>
      <w:r>
        <w:rPr>
          <w:rFonts w:hint="eastAsia" w:ascii="宋体" w:hAnsi="宋体" w:eastAsia="宋体" w:cs="宋体"/>
          <w:color w:val="000000" w:themeColor="text1"/>
          <w:spacing w:val="6"/>
          <w:sz w:val="21"/>
          <w:szCs w:val="21"/>
          <w:highlight w:val="none"/>
          <w14:textFill>
            <w14:solidFill>
              <w14:schemeClr w14:val="tx1"/>
            </w14:solidFill>
          </w14:textFill>
        </w:rPr>
        <w:t>在</w:t>
      </w:r>
      <w:r>
        <w:rPr>
          <w:rFonts w:hint="eastAsia" w:ascii="宋体" w:hAnsi="宋体" w:eastAsia="宋体" w:cs="宋体"/>
          <w:color w:val="000000" w:themeColor="text1"/>
          <w:spacing w:val="6"/>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天内不能达成协议时，则采取以下第</w:t>
      </w:r>
      <w:r>
        <w:rPr>
          <w:rFonts w:hint="eastAsia" w:ascii="宋体" w:hAnsi="宋体" w:eastAsia="宋体" w:cs="宋体"/>
          <w:color w:val="000000" w:themeColor="text1"/>
          <w:spacing w:val="6"/>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种方式解决争议：</w:t>
      </w:r>
    </w:p>
    <w:p w14:paraId="6C7AA7C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4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5"/>
          <w:sz w:val="21"/>
          <w:szCs w:val="21"/>
          <w:highlight w:val="none"/>
          <w14:textFill>
            <w14:solidFill>
              <w14:schemeClr w14:val="tx1"/>
            </w14:solidFill>
          </w14:textFill>
        </w:rPr>
        <w:t>(1)向甲方所在地有管辖权的人民法院提起诉讼；</w:t>
      </w:r>
    </w:p>
    <w:p w14:paraId="5BEC9DDB">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20"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(2)向</w:t>
      </w:r>
      <w:r>
        <w:rPr>
          <w:rFonts w:hint="eastAsia" w:ascii="宋体" w:hAnsi="宋体" w:eastAsia="宋体" w:cs="宋体"/>
          <w:color w:val="000000" w:themeColor="text1"/>
          <w:spacing w:val="-56"/>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color="auto"/>
          <w14:textFill>
            <w14:solidFill>
              <w14:schemeClr w14:val="tx1"/>
            </w14:solidFill>
          </w14:textFill>
        </w:rPr>
        <w:t xml:space="preserve">采购人所在地 </w:t>
      </w:r>
      <w:r>
        <w:rPr>
          <w:rFonts w:hint="eastAsia" w:ascii="宋体" w:hAnsi="宋体" w:eastAsia="宋体" w:cs="宋体"/>
          <w:color w:val="000000" w:themeColor="text1"/>
          <w:sz w:val="21"/>
          <w:szCs w:val="21"/>
          <w:highlight w:val="none"/>
          <w14:textFill>
            <w14:solidFill>
              <w14:schemeClr w14:val="tx1"/>
            </w14:solidFill>
          </w14:textFill>
        </w:rPr>
        <w:t>仲裁委员会按其仲裁规则申请仲裁。</w:t>
      </w:r>
    </w:p>
    <w:p w14:paraId="5FD04B5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2.在仲裁期间，本合同应继续履行。</w:t>
      </w:r>
    </w:p>
    <w:p w14:paraId="58FF9AFD">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8"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1"/>
          <w:sz w:val="21"/>
          <w:szCs w:val="21"/>
          <w:highlight w:val="none"/>
          <w14:textFill>
            <w14:solidFill>
              <w14:schemeClr w14:val="tx1"/>
            </w14:solidFill>
          </w14:textFill>
        </w:rPr>
        <w:t>第十四条</w:t>
      </w:r>
      <w:r>
        <w:rPr>
          <w:rFonts w:hint="eastAsia" w:ascii="宋体" w:hAnsi="宋体" w:eastAsia="宋体" w:cs="宋体"/>
          <w:b/>
          <w:bCs/>
          <w:color w:val="000000" w:themeColor="text1"/>
          <w:spacing w:val="-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1"/>
          <w:szCs w:val="21"/>
          <w:highlight w:val="none"/>
          <w14:textFill>
            <w14:solidFill>
              <w14:schemeClr w14:val="tx1"/>
            </w14:solidFill>
          </w14:textFill>
        </w:rPr>
        <w:t>合同生效及其他</w:t>
      </w:r>
    </w:p>
    <w:p w14:paraId="34C2B064">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1.合同经双方法定代表人或授权委托代理人</w:t>
      </w:r>
      <w:r>
        <w:rPr>
          <w:rFonts w:hint="eastAsia" w:ascii="宋体" w:hAnsi="宋体" w:eastAsia="宋体" w:cs="宋体"/>
          <w:color w:val="000000" w:themeColor="text1"/>
          <w:spacing w:val="-2"/>
          <w:sz w:val="21"/>
          <w:szCs w:val="21"/>
          <w:highlight w:val="none"/>
          <w14:textFill>
            <w14:solidFill>
              <w14:schemeClr w14:val="tx1"/>
            </w14:solidFill>
          </w14:textFill>
        </w:rPr>
        <w:t>签字并加盖单位公章后生效。</w:t>
      </w:r>
    </w:p>
    <w:p w14:paraId="1E6B5B9C">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3"/>
          <w:sz w:val="21"/>
          <w:szCs w:val="21"/>
          <w:highlight w:val="none"/>
          <w14:textFill>
            <w14:solidFill>
              <w14:schemeClr w14:val="tx1"/>
            </w14:solidFill>
          </w14:textFill>
        </w:rPr>
        <w:t>2.合同执行中涉及采购资金和采购内容修改或补充的，须经政府采购监管部门审批，</w:t>
      </w:r>
      <w:r>
        <w:rPr>
          <w:rFonts w:hint="eastAsia" w:ascii="宋体" w:hAnsi="宋体" w:eastAsia="宋体" w:cs="宋体"/>
          <w:color w:val="000000" w:themeColor="text1"/>
          <w:spacing w:val="-1"/>
          <w:sz w:val="21"/>
          <w:szCs w:val="21"/>
          <w:highlight w:val="none"/>
          <w14:textFill>
            <w14:solidFill>
              <w14:schemeClr w14:val="tx1"/>
            </w14:solidFill>
          </w14:textFill>
        </w:rPr>
        <w:t>并</w:t>
      </w:r>
      <w:r>
        <w:rPr>
          <w:rFonts w:hint="eastAsia" w:ascii="宋体" w:hAnsi="宋体" w:eastAsia="宋体" w:cs="宋体"/>
          <w:color w:val="000000" w:themeColor="text1"/>
          <w:spacing w:val="-1"/>
          <w:sz w:val="21"/>
          <w:szCs w:val="21"/>
          <w:highlight w:val="none"/>
          <w:lang w:eastAsia="zh-CN"/>
          <w14:textFill>
            <w14:solidFill>
              <w14:schemeClr w14:val="tx1"/>
            </w14:solidFill>
          </w14:textFill>
        </w:rPr>
        <w:t>签订</w:t>
      </w:r>
      <w:r>
        <w:rPr>
          <w:rFonts w:hint="eastAsia" w:ascii="宋体" w:hAnsi="宋体" w:eastAsia="宋体" w:cs="宋体"/>
          <w:color w:val="000000" w:themeColor="text1"/>
          <w:spacing w:val="-1"/>
          <w:sz w:val="21"/>
          <w:szCs w:val="21"/>
          <w:highlight w:val="none"/>
          <w14:textFill>
            <w14:solidFill>
              <w14:schemeClr w14:val="tx1"/>
            </w14:solidFill>
          </w14:textFill>
        </w:rPr>
        <w:t>书面补充协议报政府采购监督管理部门备案，方可作为主合同不可分割的一部分。</w:t>
      </w:r>
    </w:p>
    <w:p w14:paraId="41F37FF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2" w:firstLineChars="20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3"/>
          <w:sz w:val="21"/>
          <w:szCs w:val="21"/>
          <w:highlight w:val="none"/>
          <w14:textFill>
            <w14:solidFill>
              <w14:schemeClr w14:val="tx1"/>
            </w14:solidFill>
          </w14:textFill>
        </w:rPr>
        <w:t>3.本合同一式伍份，自双方签章之日起</w:t>
      </w:r>
      <w:r>
        <w:rPr>
          <w:rFonts w:hint="eastAsia" w:ascii="宋体" w:hAnsi="宋体" w:eastAsia="宋体" w:cs="宋体"/>
          <w:color w:val="000000" w:themeColor="text1"/>
          <w:spacing w:val="3"/>
          <w:sz w:val="21"/>
          <w:szCs w:val="21"/>
          <w:highlight w:val="none"/>
          <w:lang w:eastAsia="zh-CN"/>
          <w14:textFill>
            <w14:solidFill>
              <w14:schemeClr w14:val="tx1"/>
            </w14:solidFill>
          </w14:textFill>
        </w:rPr>
        <w:t>生效</w:t>
      </w:r>
      <w:r>
        <w:rPr>
          <w:rFonts w:hint="eastAsia" w:ascii="宋体" w:hAnsi="宋体" w:eastAsia="宋体" w:cs="宋体"/>
          <w:color w:val="000000" w:themeColor="text1"/>
          <w:spacing w:val="3"/>
          <w:sz w:val="21"/>
          <w:szCs w:val="21"/>
          <w:highlight w:val="none"/>
          <w14:textFill>
            <w14:solidFill>
              <w14:schemeClr w14:val="tx1"/>
            </w14:solidFill>
          </w14:textFill>
        </w:rPr>
        <w:t>。甲方贰份，乙方贰份</w:t>
      </w:r>
      <w:r>
        <w:rPr>
          <w:rFonts w:hint="eastAsia" w:ascii="宋体" w:hAnsi="宋体" w:eastAsia="宋体" w:cs="宋体"/>
          <w:color w:val="000000" w:themeColor="text1"/>
          <w:spacing w:val="2"/>
          <w:sz w:val="21"/>
          <w:szCs w:val="21"/>
          <w:highlight w:val="none"/>
          <w14:textFill>
            <w14:solidFill>
              <w14:schemeClr w14:val="tx1"/>
            </w14:solidFill>
          </w14:textFill>
        </w:rPr>
        <w:t>，同级财政部门备</w:t>
      </w:r>
      <w:r>
        <w:rPr>
          <w:rFonts w:hint="eastAsia" w:ascii="宋体" w:hAnsi="宋体" w:eastAsia="宋体" w:cs="宋体"/>
          <w:color w:val="000000" w:themeColor="text1"/>
          <w:spacing w:val="-3"/>
          <w:sz w:val="21"/>
          <w:szCs w:val="21"/>
          <w:highlight w:val="none"/>
          <w14:textFill>
            <w14:solidFill>
              <w14:schemeClr w14:val="tx1"/>
            </w14:solidFill>
          </w14:textFill>
        </w:rPr>
        <w:t>案壹份，具有同等法律效力。</w:t>
      </w:r>
    </w:p>
    <w:p w14:paraId="508A6D6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30" w:firstLineChars="200"/>
        <w:textAlignment w:val="baseline"/>
        <w:outlineLvl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第十五条</w:t>
      </w:r>
      <w:r>
        <w:rPr>
          <w:rFonts w:hint="eastAsia" w:ascii="宋体" w:hAnsi="宋体" w:eastAsia="宋体" w:cs="宋体"/>
          <w:b/>
          <w:bCs/>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附件</w:t>
      </w:r>
    </w:p>
    <w:p w14:paraId="744A4C9A">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pacing w:val="-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
          <w:sz w:val="21"/>
          <w:szCs w:val="21"/>
          <w:highlight w:val="none"/>
          <w:lang w:eastAsia="zh-CN"/>
          <w14:textFill>
            <w14:solidFill>
              <w14:schemeClr w14:val="tx1"/>
            </w14:solidFill>
          </w14:textFill>
        </w:rPr>
        <w:t>1.项目磋商文件</w:t>
      </w:r>
    </w:p>
    <w:p w14:paraId="7D9F407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pacing w:val="-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
          <w:sz w:val="21"/>
          <w:szCs w:val="21"/>
          <w:highlight w:val="none"/>
          <w:lang w:eastAsia="zh-CN"/>
          <w14:textFill>
            <w14:solidFill>
              <w14:schemeClr w14:val="tx1"/>
            </w14:solidFill>
          </w14:textFill>
        </w:rPr>
        <w:t>2.项目修改澄清文件（</w:t>
      </w:r>
      <w:r>
        <w:rPr>
          <w:rFonts w:hint="eastAsia" w:ascii="宋体" w:hAnsi="宋体" w:eastAsia="宋体" w:cs="宋体"/>
          <w:color w:val="000000" w:themeColor="text1"/>
          <w:spacing w:val="-1"/>
          <w:sz w:val="21"/>
          <w:szCs w:val="21"/>
          <w:highlight w:val="none"/>
          <w:lang w:val="en-US" w:eastAsia="zh-CN"/>
          <w14:textFill>
            <w14:solidFill>
              <w14:schemeClr w14:val="tx1"/>
            </w14:solidFill>
          </w14:textFill>
        </w:rPr>
        <w:t>如有</w:t>
      </w:r>
      <w:r>
        <w:rPr>
          <w:rFonts w:hint="eastAsia" w:ascii="宋体" w:hAnsi="宋体" w:eastAsia="宋体" w:cs="宋体"/>
          <w:color w:val="000000" w:themeColor="text1"/>
          <w:spacing w:val="-1"/>
          <w:sz w:val="21"/>
          <w:szCs w:val="21"/>
          <w:highlight w:val="none"/>
          <w:lang w:eastAsia="zh-CN"/>
          <w14:textFill>
            <w14:solidFill>
              <w14:schemeClr w14:val="tx1"/>
            </w14:solidFill>
          </w14:textFill>
        </w:rPr>
        <w:t>）</w:t>
      </w:r>
    </w:p>
    <w:p w14:paraId="444EA1F5">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pacing w:val="-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
          <w:sz w:val="21"/>
          <w:szCs w:val="21"/>
          <w:highlight w:val="none"/>
          <w:lang w:eastAsia="zh-CN"/>
          <w14:textFill>
            <w14:solidFill>
              <w14:schemeClr w14:val="tx1"/>
            </w14:solidFill>
          </w14:textFill>
        </w:rPr>
        <w:t>3.项目响应文件</w:t>
      </w:r>
    </w:p>
    <w:p w14:paraId="2A5640D7">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pacing w:val="-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
          <w:sz w:val="21"/>
          <w:szCs w:val="21"/>
          <w:highlight w:val="none"/>
          <w:lang w:eastAsia="zh-CN"/>
          <w14:textFill>
            <w14:solidFill>
              <w14:schemeClr w14:val="tx1"/>
            </w14:solidFill>
          </w14:textFill>
        </w:rPr>
        <w:t>4.成交通知书</w:t>
      </w:r>
    </w:p>
    <w:p w14:paraId="7801AD56">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416" w:firstLineChars="200"/>
        <w:textAlignment w:val="baseline"/>
        <w:rPr>
          <w:rFonts w:hint="eastAsia" w:ascii="宋体" w:hAnsi="宋体" w:eastAsia="宋体" w:cs="宋体"/>
          <w:color w:val="000000" w:themeColor="text1"/>
          <w:spacing w:val="-1"/>
          <w:sz w:val="21"/>
          <w:szCs w:val="21"/>
          <w:highlight w:val="none"/>
          <w:lang w:eastAsia="zh-CN"/>
          <w14:textFill>
            <w14:solidFill>
              <w14:schemeClr w14:val="tx1"/>
            </w14:solidFill>
          </w14:textFill>
        </w:rPr>
      </w:pPr>
      <w:r>
        <w:rPr>
          <w:rFonts w:hint="eastAsia" w:ascii="宋体" w:hAnsi="宋体" w:eastAsia="宋体" w:cs="宋体"/>
          <w:color w:val="000000" w:themeColor="text1"/>
          <w:spacing w:val="-1"/>
          <w:sz w:val="21"/>
          <w:szCs w:val="21"/>
          <w:highlight w:val="none"/>
          <w:lang w:eastAsia="zh-CN"/>
          <w14:textFill>
            <w14:solidFill>
              <w14:schemeClr w14:val="tx1"/>
            </w14:solidFill>
          </w14:textFill>
        </w:rPr>
        <w:t>5.其他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AF7D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12012882">
            <w:pPr>
              <w:pStyle w:val="2"/>
              <w:widowControl w:val="0"/>
              <w:ind w:left="848" w:hanging="848" w:hangingChars="400"/>
              <w:rPr>
                <w:rFonts w:hint="eastAsia" w:ascii="宋体" w:hAnsi="宋体" w:eastAsia="宋体" w:cs="宋体"/>
                <w:vertAlign w:val="baseline"/>
              </w:rPr>
            </w:pPr>
            <w:r>
              <w:rPr>
                <w:rFonts w:hint="eastAsia" w:ascii="宋体" w:hAnsi="宋体" w:eastAsia="宋体" w:cs="宋体"/>
                <w:color w:val="000000" w:themeColor="text1"/>
                <w:spacing w:val="1"/>
                <w:position w:val="-1"/>
                <w:sz w:val="21"/>
                <w:szCs w:val="21"/>
                <w:highlight w:val="none"/>
                <w14:textFill>
                  <w14:solidFill>
                    <w14:schemeClr w14:val="tx1"/>
                  </w14:solidFill>
                </w14:textFill>
              </w:rPr>
              <w:t>甲</w:t>
            </w:r>
            <w:r>
              <w:rPr>
                <w:rFonts w:hint="eastAsia" w:ascii="宋体" w:hAnsi="宋体" w:eastAsia="宋体" w:cs="宋体"/>
                <w:color w:val="000000" w:themeColor="text1"/>
                <w:spacing w:val="-43"/>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方</w:t>
            </w:r>
            <w:r>
              <w:rPr>
                <w:rFonts w:hint="eastAsia" w:ascii="宋体" w:hAnsi="宋体" w:eastAsia="宋体" w:cs="宋体"/>
                <w:color w:val="000000" w:themeColor="text1"/>
                <w:spacing w:val="-56"/>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w:t>
            </w:r>
            <w:r>
              <w:rPr>
                <w:rFonts w:hint="eastAsia" w:ascii="宋体" w:hAnsi="宋体" w:eastAsia="宋体" w:cs="宋体"/>
                <w:color w:val="000000" w:themeColor="text1"/>
                <w:spacing w:val="91"/>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1"/>
                <w:position w:val="-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(盖章)</w:t>
            </w:r>
          </w:p>
        </w:tc>
        <w:tc>
          <w:tcPr>
            <w:tcW w:w="4261" w:type="dxa"/>
            <w:vAlign w:val="center"/>
          </w:tcPr>
          <w:p w14:paraId="72FB80A8">
            <w:pPr>
              <w:pStyle w:val="2"/>
              <w:widowControl w:val="0"/>
              <w:jc w:val="both"/>
              <w:rPr>
                <w:rFonts w:hint="eastAsia" w:ascii="宋体" w:hAnsi="宋体" w:eastAsia="宋体" w:cs="宋体"/>
                <w:vertAlign w:val="baseline"/>
              </w:rPr>
            </w:pPr>
            <w:r>
              <w:rPr>
                <w:rFonts w:hint="eastAsia" w:ascii="宋体" w:hAnsi="宋体" w:eastAsia="宋体" w:cs="宋体"/>
                <w:color w:val="000000" w:themeColor="text1"/>
                <w:spacing w:val="1"/>
                <w:position w:val="1"/>
                <w:sz w:val="21"/>
                <w:szCs w:val="21"/>
                <w:highlight w:val="none"/>
                <w14:textFill>
                  <w14:solidFill>
                    <w14:schemeClr w14:val="tx1"/>
                  </w14:solidFill>
                </w14:textFill>
              </w:rPr>
              <w:t>乙</w:t>
            </w:r>
            <w:r>
              <w:rPr>
                <w:rFonts w:hint="eastAsia" w:ascii="宋体" w:hAnsi="宋体" w:eastAsia="宋体" w:cs="宋体"/>
                <w:color w:val="000000" w:themeColor="text1"/>
                <w:spacing w:val="-14"/>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方</w:t>
            </w:r>
            <w:r>
              <w:rPr>
                <w:rFonts w:hint="eastAsia" w:ascii="宋体" w:hAnsi="宋体" w:eastAsia="宋体" w:cs="宋体"/>
                <w:color w:val="000000" w:themeColor="text1"/>
                <w:spacing w:val="-41"/>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w:t>
            </w:r>
            <w:r>
              <w:rPr>
                <w:rFonts w:hint="eastAsia" w:ascii="宋体" w:hAnsi="宋体" w:eastAsia="宋体" w:cs="宋体"/>
                <w:color w:val="000000" w:themeColor="text1"/>
                <w:spacing w:val="1"/>
                <w:position w:val="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1"/>
                <w:position w:val="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
                <w:position w:val="1"/>
                <w:sz w:val="21"/>
                <w:szCs w:val="21"/>
                <w:highlight w:val="none"/>
                <w14:textFill>
                  <w14:solidFill>
                    <w14:schemeClr w14:val="tx1"/>
                  </w14:solidFill>
                </w14:textFill>
              </w:rPr>
              <w:t>(盖章)</w:t>
            </w:r>
          </w:p>
        </w:tc>
      </w:tr>
      <w:tr w14:paraId="33D6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447FD5ED">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22"/>
                <w:sz w:val="21"/>
                <w:szCs w:val="21"/>
                <w:highlight w:val="none"/>
                <w14:textFill>
                  <w14:solidFill>
                    <w14:schemeClr w14:val="tx1"/>
                  </w14:solidFill>
                </w14:textFill>
              </w:rPr>
              <w:t>法定代表人(委托代理人):</w:t>
            </w:r>
            <w:r>
              <w:rPr>
                <w:rFonts w:hint="eastAsia" w:ascii="宋体" w:hAnsi="宋体" w:eastAsia="宋体" w:cs="宋体"/>
                <w:color w:val="000000" w:themeColor="text1"/>
                <w:spacing w:val="4"/>
                <w:sz w:val="21"/>
                <w:szCs w:val="21"/>
                <w:highlight w:val="none"/>
                <w14:textFill>
                  <w14:solidFill>
                    <w14:schemeClr w14:val="tx1"/>
                  </w14:solidFill>
                </w14:textFill>
              </w:rPr>
              <w:t xml:space="preserve"> </w:t>
            </w:r>
          </w:p>
        </w:tc>
        <w:tc>
          <w:tcPr>
            <w:tcW w:w="4261" w:type="dxa"/>
            <w:vAlign w:val="center"/>
          </w:tcPr>
          <w:p w14:paraId="47D40CDF">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22"/>
                <w:sz w:val="21"/>
                <w:szCs w:val="21"/>
                <w:highlight w:val="none"/>
                <w14:textFill>
                  <w14:solidFill>
                    <w14:schemeClr w14:val="tx1"/>
                  </w14:solidFill>
                </w14:textFill>
              </w:rPr>
              <w:t>法定代表人(委托代理人):</w:t>
            </w:r>
            <w:r>
              <w:rPr>
                <w:rFonts w:hint="eastAsia" w:ascii="宋体" w:hAnsi="宋体" w:eastAsia="宋体" w:cs="宋体"/>
                <w:color w:val="000000" w:themeColor="text1"/>
                <w:spacing w:val="4"/>
                <w:sz w:val="21"/>
                <w:szCs w:val="21"/>
                <w:highlight w:val="none"/>
                <w14:textFill>
                  <w14:solidFill>
                    <w14:schemeClr w14:val="tx1"/>
                  </w14:solidFill>
                </w14:textFill>
              </w:rPr>
              <w:t xml:space="preserve"> </w:t>
            </w:r>
          </w:p>
        </w:tc>
      </w:tr>
      <w:tr w14:paraId="76213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3740FD61">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6"/>
                <w:sz w:val="21"/>
                <w:szCs w:val="21"/>
                <w:highlight w:val="none"/>
                <w14:textFill>
                  <w14:solidFill>
                    <w14:schemeClr w14:val="tx1"/>
                  </w14:solidFill>
                </w14:textFill>
              </w:rPr>
              <w:t>地</w:t>
            </w:r>
            <w:r>
              <w:rPr>
                <w:rFonts w:hint="eastAsia" w:ascii="宋体" w:hAnsi="宋体" w:eastAsia="宋体" w:cs="宋体"/>
                <w:color w:val="000000" w:themeColor="text1"/>
                <w:spacing w:val="16"/>
                <w:sz w:val="21"/>
                <w:szCs w:val="21"/>
                <w:highlight w:val="none"/>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址</w:t>
            </w:r>
            <w:r>
              <w:rPr>
                <w:rFonts w:hint="eastAsia" w:ascii="宋体" w:hAnsi="宋体" w:eastAsia="宋体" w:cs="宋体"/>
                <w:color w:val="000000" w:themeColor="text1"/>
                <w:spacing w:val="-13"/>
                <w:sz w:val="21"/>
                <w:szCs w:val="21"/>
                <w:highlight w:val="none"/>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w:t>
            </w:r>
          </w:p>
        </w:tc>
        <w:tc>
          <w:tcPr>
            <w:tcW w:w="4261" w:type="dxa"/>
            <w:vAlign w:val="center"/>
          </w:tcPr>
          <w:p w14:paraId="407FE977">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6"/>
                <w:sz w:val="21"/>
                <w:szCs w:val="21"/>
                <w:highlight w:val="none"/>
                <w14:textFill>
                  <w14:solidFill>
                    <w14:schemeClr w14:val="tx1"/>
                  </w14:solidFill>
                </w14:textFill>
              </w:rPr>
              <w:t>地</w:t>
            </w:r>
            <w:r>
              <w:rPr>
                <w:rFonts w:hint="eastAsia" w:ascii="宋体" w:hAnsi="宋体" w:eastAsia="宋体" w:cs="宋体"/>
                <w:color w:val="000000" w:themeColor="text1"/>
                <w:spacing w:val="16"/>
                <w:sz w:val="21"/>
                <w:szCs w:val="21"/>
                <w:highlight w:val="none"/>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址</w:t>
            </w:r>
            <w:r>
              <w:rPr>
                <w:rFonts w:hint="eastAsia" w:ascii="宋体" w:hAnsi="宋体" w:eastAsia="宋体" w:cs="宋体"/>
                <w:color w:val="000000" w:themeColor="text1"/>
                <w:spacing w:val="-13"/>
                <w:sz w:val="21"/>
                <w:szCs w:val="21"/>
                <w:highlight w:val="none"/>
                <w14:textFill>
                  <w14:solidFill>
                    <w14:schemeClr w14:val="tx1"/>
                  </w14:solidFill>
                </w14:textFill>
              </w:rPr>
              <w:t xml:space="preserve"> </w:t>
            </w:r>
            <w:r>
              <w:rPr>
                <w:rFonts w:hint="eastAsia" w:ascii="宋体" w:hAnsi="宋体" w:eastAsia="宋体" w:cs="宋体"/>
                <w:color w:val="000000" w:themeColor="text1"/>
                <w:spacing w:val="-6"/>
                <w:sz w:val="21"/>
                <w:szCs w:val="21"/>
                <w:highlight w:val="none"/>
                <w14:textFill>
                  <w14:solidFill>
                    <w14:schemeClr w14:val="tx1"/>
                  </w14:solidFill>
                </w14:textFill>
              </w:rPr>
              <w:t>：</w:t>
            </w:r>
          </w:p>
        </w:tc>
      </w:tr>
      <w:tr w14:paraId="69DC1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45E1449D">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2"/>
                <w:sz w:val="21"/>
                <w:szCs w:val="21"/>
                <w:highlight w:val="none"/>
                <w14:textFill>
                  <w14:solidFill>
                    <w14:schemeClr w14:val="tx1"/>
                  </w14:solidFill>
                </w14:textFill>
              </w:rPr>
              <w:t>开户银行：</w:t>
            </w:r>
          </w:p>
        </w:tc>
        <w:tc>
          <w:tcPr>
            <w:tcW w:w="4261" w:type="dxa"/>
            <w:vAlign w:val="center"/>
          </w:tcPr>
          <w:p w14:paraId="58ABB831">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2"/>
                <w:sz w:val="21"/>
                <w:szCs w:val="21"/>
                <w:highlight w:val="none"/>
                <w14:textFill>
                  <w14:solidFill>
                    <w14:schemeClr w14:val="tx1"/>
                  </w14:solidFill>
                </w14:textFill>
              </w:rPr>
              <w:t>开户银行：</w:t>
            </w:r>
          </w:p>
        </w:tc>
      </w:tr>
      <w:tr w14:paraId="66F2A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7D393DCC">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4"/>
                <w:sz w:val="21"/>
                <w:szCs w:val="21"/>
                <w:highlight w:val="none"/>
                <w14:textFill>
                  <w14:solidFill>
                    <w14:schemeClr w14:val="tx1"/>
                  </w14:solidFill>
                </w14:textFill>
              </w:rPr>
              <w:t>账号：</w:t>
            </w:r>
          </w:p>
        </w:tc>
        <w:tc>
          <w:tcPr>
            <w:tcW w:w="4261" w:type="dxa"/>
            <w:vAlign w:val="center"/>
          </w:tcPr>
          <w:p w14:paraId="6199D4F7">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4"/>
                <w:sz w:val="21"/>
                <w:szCs w:val="21"/>
                <w:highlight w:val="none"/>
                <w14:textFill>
                  <w14:solidFill>
                    <w14:schemeClr w14:val="tx1"/>
                  </w14:solidFill>
                </w14:textFill>
              </w:rPr>
              <w:t>账号：</w:t>
            </w:r>
          </w:p>
        </w:tc>
      </w:tr>
      <w:tr w14:paraId="3138D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15DB919C">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11"/>
                <w:sz w:val="21"/>
                <w:szCs w:val="21"/>
                <w:highlight w:val="none"/>
                <w14:textFill>
                  <w14:solidFill>
                    <w14:schemeClr w14:val="tx1"/>
                  </w14:solidFill>
                </w14:textFill>
              </w:rPr>
              <w:t>电</w:t>
            </w:r>
            <w:r>
              <w:rPr>
                <w:rFonts w:hint="eastAsia" w:ascii="宋体" w:hAnsi="宋体" w:eastAsia="宋体" w:cs="宋体"/>
                <w:color w:val="000000" w:themeColor="text1"/>
                <w:spacing w:val="2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1"/>
                <w:sz w:val="21"/>
                <w:szCs w:val="21"/>
                <w:highlight w:val="none"/>
                <w14:textFill>
                  <w14:solidFill>
                    <w14:schemeClr w14:val="tx1"/>
                  </w14:solidFill>
                </w14:textFill>
              </w:rPr>
              <w:t>话 ：</w:t>
            </w:r>
            <w:r>
              <w:rPr>
                <w:rFonts w:hint="eastAsia" w:ascii="宋体" w:hAnsi="宋体" w:eastAsia="宋体" w:cs="宋体"/>
                <w:color w:val="000000" w:themeColor="text1"/>
                <w:spacing w:val="6"/>
                <w:sz w:val="21"/>
                <w:szCs w:val="21"/>
                <w:highlight w:val="none"/>
                <w14:textFill>
                  <w14:solidFill>
                    <w14:schemeClr w14:val="tx1"/>
                  </w14:solidFill>
                </w14:textFill>
              </w:rPr>
              <w:t xml:space="preserve">  </w:t>
            </w:r>
          </w:p>
        </w:tc>
        <w:tc>
          <w:tcPr>
            <w:tcW w:w="4261" w:type="dxa"/>
            <w:vAlign w:val="center"/>
          </w:tcPr>
          <w:p w14:paraId="23A16E82">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11"/>
                <w:sz w:val="21"/>
                <w:szCs w:val="21"/>
                <w:highlight w:val="none"/>
                <w14:textFill>
                  <w14:solidFill>
                    <w14:schemeClr w14:val="tx1"/>
                  </w14:solidFill>
                </w14:textFill>
              </w:rPr>
              <w:t>电</w:t>
            </w:r>
            <w:r>
              <w:rPr>
                <w:rFonts w:hint="eastAsia" w:ascii="宋体" w:hAnsi="宋体" w:eastAsia="宋体" w:cs="宋体"/>
                <w:color w:val="000000" w:themeColor="text1"/>
                <w:spacing w:val="21"/>
                <w:sz w:val="21"/>
                <w:szCs w:val="21"/>
                <w:highlight w:val="none"/>
                <w14:textFill>
                  <w14:solidFill>
                    <w14:schemeClr w14:val="tx1"/>
                  </w14:solidFill>
                </w14:textFill>
              </w:rPr>
              <w:t xml:space="preserve">  </w:t>
            </w:r>
            <w:r>
              <w:rPr>
                <w:rFonts w:hint="eastAsia" w:ascii="宋体" w:hAnsi="宋体" w:eastAsia="宋体" w:cs="宋体"/>
                <w:color w:val="000000" w:themeColor="text1"/>
                <w:spacing w:val="-11"/>
                <w:sz w:val="21"/>
                <w:szCs w:val="21"/>
                <w:highlight w:val="none"/>
                <w14:textFill>
                  <w14:solidFill>
                    <w14:schemeClr w14:val="tx1"/>
                  </w14:solidFill>
                </w14:textFill>
              </w:rPr>
              <w:t>话 ：</w:t>
            </w:r>
            <w:r>
              <w:rPr>
                <w:rFonts w:hint="eastAsia" w:ascii="宋体" w:hAnsi="宋体" w:eastAsia="宋体" w:cs="宋体"/>
                <w:color w:val="000000" w:themeColor="text1"/>
                <w:spacing w:val="6"/>
                <w:sz w:val="21"/>
                <w:szCs w:val="21"/>
                <w:highlight w:val="none"/>
                <w14:textFill>
                  <w14:solidFill>
                    <w14:schemeClr w14:val="tx1"/>
                  </w14:solidFill>
                </w14:textFill>
              </w:rPr>
              <w:t xml:space="preserve">  </w:t>
            </w:r>
          </w:p>
        </w:tc>
      </w:tr>
      <w:tr w14:paraId="6CED9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742DA496">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9"/>
                <w:sz w:val="21"/>
                <w:szCs w:val="21"/>
                <w:highlight w:val="none"/>
                <w14:textFill>
                  <w14:solidFill>
                    <w14:schemeClr w14:val="tx1"/>
                  </w14:solidFill>
                </w14:textFill>
              </w:rPr>
              <w:t>签约日期</w:t>
            </w:r>
            <w:r>
              <w:rPr>
                <w:rFonts w:hint="eastAsia" w:ascii="宋体" w:hAnsi="宋体" w:eastAsia="宋体" w:cs="宋体"/>
                <w:color w:val="000000" w:themeColor="text1"/>
                <w:spacing w:val="-49"/>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40"/>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年</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36"/>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月</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 xml:space="preserve"> 日</w:t>
            </w:r>
            <w:r>
              <w:rPr>
                <w:rFonts w:hint="eastAsia" w:ascii="宋体" w:hAnsi="宋体" w:eastAsia="宋体" w:cs="宋体"/>
                <w:color w:val="000000" w:themeColor="text1"/>
                <w:spacing w:val="6"/>
                <w:sz w:val="21"/>
                <w:szCs w:val="21"/>
                <w:highlight w:val="none"/>
                <w14:textFill>
                  <w14:solidFill>
                    <w14:schemeClr w14:val="tx1"/>
                  </w14:solidFill>
                </w14:textFill>
              </w:rPr>
              <w:t xml:space="preserve">  </w:t>
            </w:r>
          </w:p>
        </w:tc>
        <w:tc>
          <w:tcPr>
            <w:tcW w:w="4261" w:type="dxa"/>
            <w:vAlign w:val="center"/>
          </w:tcPr>
          <w:p w14:paraId="7EC85551">
            <w:pPr>
              <w:pStyle w:val="2"/>
              <w:widowControl w:val="0"/>
              <w:rPr>
                <w:rFonts w:hint="eastAsia" w:ascii="宋体" w:hAnsi="宋体" w:eastAsia="宋体" w:cs="宋体"/>
                <w:vertAlign w:val="baseline"/>
              </w:rPr>
            </w:pPr>
            <w:r>
              <w:rPr>
                <w:rFonts w:hint="eastAsia" w:ascii="宋体" w:hAnsi="宋体" w:eastAsia="宋体" w:cs="宋体"/>
                <w:color w:val="000000" w:themeColor="text1"/>
                <w:spacing w:val="-9"/>
                <w:sz w:val="21"/>
                <w:szCs w:val="21"/>
                <w:highlight w:val="none"/>
                <w14:textFill>
                  <w14:solidFill>
                    <w14:schemeClr w14:val="tx1"/>
                  </w14:solidFill>
                </w14:textFill>
              </w:rPr>
              <w:t>签约日期</w:t>
            </w:r>
            <w:r>
              <w:rPr>
                <w:rFonts w:hint="eastAsia" w:ascii="宋体" w:hAnsi="宋体" w:eastAsia="宋体" w:cs="宋体"/>
                <w:color w:val="000000" w:themeColor="text1"/>
                <w:spacing w:val="-49"/>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40"/>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年</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36"/>
                <w:sz w:val="21"/>
                <w:szCs w:val="21"/>
                <w:highlight w:val="none"/>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月</w:t>
            </w:r>
            <w:r>
              <w:rPr>
                <w:rFonts w:hint="eastAsia" w:ascii="宋体" w:hAnsi="宋体" w:eastAsia="宋体" w:cs="宋体"/>
                <w:color w:val="000000" w:themeColor="text1"/>
                <w:spacing w:val="-9"/>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9"/>
                <w:sz w:val="21"/>
                <w:szCs w:val="21"/>
                <w:highlight w:val="none"/>
                <w14:textFill>
                  <w14:solidFill>
                    <w14:schemeClr w14:val="tx1"/>
                  </w14:solidFill>
                </w14:textFill>
              </w:rPr>
              <w:t xml:space="preserve"> 日</w:t>
            </w:r>
            <w:r>
              <w:rPr>
                <w:rFonts w:hint="eastAsia" w:ascii="宋体" w:hAnsi="宋体" w:eastAsia="宋体" w:cs="宋体"/>
                <w:color w:val="000000" w:themeColor="text1"/>
                <w:spacing w:val="6"/>
                <w:sz w:val="21"/>
                <w:szCs w:val="21"/>
                <w:highlight w:val="none"/>
                <w14:textFill>
                  <w14:solidFill>
                    <w14:schemeClr w14:val="tx1"/>
                  </w14:solidFill>
                </w14:textFill>
              </w:rPr>
              <w:t xml:space="preserve"> </w:t>
            </w:r>
          </w:p>
        </w:tc>
      </w:tr>
    </w:tbl>
    <w:p w14:paraId="4CCA3E1A">
      <w:pPr>
        <w:pStyle w:val="13"/>
        <w:rPr>
          <w:rFonts w:hint="eastAsia" w:ascii="宋体" w:hAnsi="宋体" w:eastAsia="宋体" w:cs="宋体"/>
          <w:lang w:val="en-US" w:eastAsia="zh-Hans"/>
        </w:rPr>
      </w:pPr>
    </w:p>
    <w:p w14:paraId="182BEFA1">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514B4"/>
    <w:rsid w:val="05634469"/>
    <w:rsid w:val="0BD643AC"/>
    <w:rsid w:val="0BEE32C2"/>
    <w:rsid w:val="0C831BBF"/>
    <w:rsid w:val="0E916E0F"/>
    <w:rsid w:val="128800FC"/>
    <w:rsid w:val="2682656C"/>
    <w:rsid w:val="28C01707"/>
    <w:rsid w:val="28E03E7D"/>
    <w:rsid w:val="298970CB"/>
    <w:rsid w:val="2C1C1DF7"/>
    <w:rsid w:val="2FCB43E0"/>
    <w:rsid w:val="30055F99"/>
    <w:rsid w:val="37294A27"/>
    <w:rsid w:val="3D9170BE"/>
    <w:rsid w:val="3F8C6C1B"/>
    <w:rsid w:val="404F5DE0"/>
    <w:rsid w:val="422C694D"/>
    <w:rsid w:val="431E61AB"/>
    <w:rsid w:val="43995A03"/>
    <w:rsid w:val="475514B4"/>
    <w:rsid w:val="492C14BA"/>
    <w:rsid w:val="4BFE3A92"/>
    <w:rsid w:val="540B1080"/>
    <w:rsid w:val="59D41C83"/>
    <w:rsid w:val="5A1E1D5E"/>
    <w:rsid w:val="664E34EF"/>
    <w:rsid w:val="667A008B"/>
    <w:rsid w:val="6E3E21DC"/>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2"/>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1"/>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0"/>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Char"/>
    <w:link w:val="6"/>
    <w:qFormat/>
    <w:uiPriority w:val="0"/>
    <w:rPr>
      <w:rFonts w:ascii="Calibri" w:hAnsi="Calibri" w:eastAsia="宋体"/>
      <w:b/>
      <w:sz w:val="30"/>
    </w:rPr>
  </w:style>
  <w:style w:type="character" w:customStyle="1" w:styleId="11">
    <w:name w:val="标题 2 Char"/>
    <w:link w:val="4"/>
    <w:qFormat/>
    <w:uiPriority w:val="0"/>
    <w:rPr>
      <w:rFonts w:ascii="Arial" w:hAnsi="Arial" w:eastAsia="黑体"/>
      <w:b/>
      <w:kern w:val="2"/>
      <w:sz w:val="36"/>
    </w:rPr>
  </w:style>
  <w:style w:type="character" w:customStyle="1" w:styleId="12">
    <w:name w:val="标题 1 Char"/>
    <w:link w:val="3"/>
    <w:qFormat/>
    <w:uiPriority w:val="0"/>
    <w:rPr>
      <w:rFonts w:ascii="Times New Roman" w:hAnsi="Times New Roman" w:eastAsia="宋体"/>
      <w:b/>
      <w:kern w:val="44"/>
      <w:sz w:val="4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2216</Words>
  <Characters>2297</Characters>
  <Lines>0</Lines>
  <Paragraphs>0</Paragraphs>
  <TotalTime>0</TotalTime>
  <ScaleCrop>false</ScaleCrop>
  <LinksUpToDate>false</LinksUpToDate>
  <CharactersWithSpaces>2456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2025-04-16T03:57:00Z</dcterms:created>
  <dc:creator>豆本豆</dc:creator>
  <cp:lastModifiedBy>Hanson 汉森</cp:lastModifiedBy>
  <dcterms:modified xsi:type="dcterms:W3CDTF">2025-07-03T08:43:58Z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C08E7AF0FD024299B68F8508C7CBC36E_11</vt:lpwstr>
  </property>
  <property fmtid="{D5CDD505-2E9C-101B-9397-08002B2CF9AE}" pid="4" name="KSOTemplateDocerSaveRecord">
    <vt:lpwstr>eyJoZGlkIjoiMDk3Y2Y1MjYwZDg0YjIxNDdiNGQwOWUxMDA2MzhjNGUiLCJ1c2VySWQiOiI1MTAwOTgyNjgifQ==</vt:lpwstr>
  </property>
</Properties>
</file>