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版本号：中金咨招[2025]-0162号20250815001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西安市鄠邑区农村生活污水处理一期工程PPP项目社会资本方退出咨询服务项目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中金咨招[2025]-0162号</w:t>
      </w:r>
      <w:r>
        <w:br/>
      </w:r>
      <w:r>
        <w:br/>
      </w:r>
      <w:r>
        <w:br/>
      </w:r>
    </w:p>
    <w:p>
      <w:pPr>
        <w:pStyle w:val="null3"/>
        <w:jc w:val="center"/>
        <w:outlineLvl w:val="2"/>
      </w:pPr>
      <w:r>
        <w:rPr>
          <w:rFonts w:ascii="仿宋_GB2312" w:hAnsi="仿宋_GB2312" w:cs="仿宋_GB2312" w:eastAsia="仿宋_GB2312"/>
          <w:sz w:val="28"/>
          <w:b/>
        </w:rPr>
        <w:t>西安市鄠邑区污水管理中心</w:t>
      </w:r>
    </w:p>
    <w:p>
      <w:pPr>
        <w:pStyle w:val="null3"/>
        <w:jc w:val="center"/>
        <w:outlineLvl w:val="2"/>
      </w:pPr>
      <w:r>
        <w:rPr>
          <w:rFonts w:ascii="仿宋_GB2312" w:hAnsi="仿宋_GB2312" w:cs="仿宋_GB2312" w:eastAsia="仿宋_GB2312"/>
          <w:sz w:val="28"/>
          <w:b/>
        </w:rPr>
        <w:t>中金国际项目管理有限公司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中金国际项目管理有限公司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西安市鄠邑区污水管理中心</w:t>
      </w:r>
      <w:r>
        <w:rPr>
          <w:rFonts w:ascii="仿宋_GB2312" w:hAnsi="仿宋_GB2312" w:cs="仿宋_GB2312" w:eastAsia="仿宋_GB2312"/>
        </w:rPr>
        <w:t>委托，拟对</w:t>
      </w:r>
      <w:r>
        <w:rPr>
          <w:rFonts w:ascii="仿宋_GB2312" w:hAnsi="仿宋_GB2312" w:cs="仿宋_GB2312" w:eastAsia="仿宋_GB2312"/>
        </w:rPr>
        <w:t>西安市鄠邑区农村生活污水处理一期工程PPP项目社会资本方退出咨询服务项目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中金咨招[2025]-0162号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西安市鄠邑区农村生活污水处理一期工程PPP项目社会资本方退出咨询服务项目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为加快推进PPP项目社会资本方的退出，确保此项工作合规合法开展，需聘请第三方专业机构承担PPP项目的勘察测量、变更、工程结算、移交协助、评估报告、未验收工程处理、占地事项审核、合同谈判等工作。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采购包1（项目终止咨询服务）：属于专门面向中小企业采购。</w:t>
      </w:r>
    </w:p>
    <w:p>
      <w:pPr>
        <w:pStyle w:val="null3"/>
      </w:pPr>
      <w:r>
        <w:rPr>
          <w:rFonts w:ascii="仿宋_GB2312" w:hAnsi="仿宋_GB2312" w:cs="仿宋_GB2312" w:eastAsia="仿宋_GB2312"/>
        </w:rPr>
        <w:t>采购包2（项目结算审核服务）：属于专门面向中小企业采购。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2、财务状况报告：提供2024年度完整的财务审计报告（成立时间至开标时间不足一年的可提供成立后任意时段的资产负债表）或开标时间前六个月内基本账户银行出具的资信证明。</w:t>
      </w:r>
    </w:p>
    <w:p>
      <w:pPr>
        <w:pStyle w:val="null3"/>
      </w:pPr>
      <w:r>
        <w:rPr>
          <w:rFonts w:ascii="仿宋_GB2312" w:hAnsi="仿宋_GB2312" w:cs="仿宋_GB2312" w:eastAsia="仿宋_GB2312"/>
        </w:rPr>
        <w:t>3、税收交纳证明：提供2024年1月至今一个月已缴纳的增值税或营业税或企业所得税的凭据或税务机关开具的完税证明;依法免税的应提供相关文件证明;</w:t>
      </w:r>
    </w:p>
    <w:p>
      <w:pPr>
        <w:pStyle w:val="null3"/>
      </w:pPr>
      <w:r>
        <w:rPr>
          <w:rFonts w:ascii="仿宋_GB2312" w:hAnsi="仿宋_GB2312" w:cs="仿宋_GB2312" w:eastAsia="仿宋_GB2312"/>
        </w:rPr>
        <w:t>4、社会保障资金交纳证明：提供2024年1月至今一个月已缴存的社会保障资金缴存单据或社保机构开具的社会保险参保缴费情况证明，依法不需要缴纳社会保障资金的单位应提供相关证明材料;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8、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关系说明：单位负责人为同一人或者存在直接控股、管理关系的不同单位，不得参加同一合同项下的政府采购活动。除单一来源采购项目外，为采购项目提供整体设计、规范编制或者项目管理、检测等服务的供应商，不得再参加该采购项目的其他采购活动;</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2、财务状况报告：提供2024年度完整的财务审计报告（成立时间至开标时间不足一年的可提供成立后任意时段的资产负债表）或开标时间前六个月内基本账户银行出具的资信证明。</w:t>
      </w:r>
    </w:p>
    <w:p>
      <w:pPr>
        <w:pStyle w:val="null3"/>
      </w:pPr>
      <w:r>
        <w:rPr>
          <w:rFonts w:ascii="仿宋_GB2312" w:hAnsi="仿宋_GB2312" w:cs="仿宋_GB2312" w:eastAsia="仿宋_GB2312"/>
        </w:rPr>
        <w:t>3、税收交纳证明：提供2024年1月至今一个月已缴纳的增值税或营业税或企业所得税的凭据或税务机关开具的完税证明;依法免税的应提供相关文件证明;</w:t>
      </w:r>
    </w:p>
    <w:p>
      <w:pPr>
        <w:pStyle w:val="null3"/>
      </w:pPr>
      <w:r>
        <w:rPr>
          <w:rFonts w:ascii="仿宋_GB2312" w:hAnsi="仿宋_GB2312" w:cs="仿宋_GB2312" w:eastAsia="仿宋_GB2312"/>
        </w:rPr>
        <w:t>4、社会保障资金交纳证明：提供2024年1月至今一个月已缴存的社会保障资金缴存单据或社保机构开具的社会保险参保缴费情况证明，依法不需要缴纳社会保障资金的单位应提供相关证明材料;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8、项目负责人：拟派项目负责人须具备国家一级注册造价工程师资格，并在本单位注册</w:t>
      </w:r>
    </w:p>
    <w:p>
      <w:pPr>
        <w:pStyle w:val="null3"/>
      </w:pPr>
      <w:r>
        <w:rPr>
          <w:rFonts w:ascii="仿宋_GB2312" w:hAnsi="仿宋_GB2312" w:cs="仿宋_GB2312" w:eastAsia="仿宋_GB2312"/>
        </w:rPr>
        <w:t>9、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控股关系说明：单位负责人为同一人或者存在直接控股、管理关系的不同单位，不得参加同一合同项下的政府采购活动。除单一来源采购项目外，为采购项目提供整体设计、规范编制或者项目管理、检测等服务的供应商，不得再参加该采购项目的其他采购活动;</w:t>
      </w:r>
    </w:p>
    <w:p>
      <w:pPr>
        <w:pStyle w:val="null3"/>
      </w:pPr>
      <w:r>
        <w:rPr>
          <w:rFonts w:ascii="仿宋_GB2312" w:hAnsi="仿宋_GB2312" w:cs="仿宋_GB2312" w:eastAsia="仿宋_GB2312"/>
        </w:rPr>
        <w:t>11、本项目不接受联合体磋商，不允许分包：供应商应提供《非联合体不分包磋商声明》，视为独立磋商，不分包。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西安市鄠邑区污水管理中心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西安市鄠邑区沣京路18号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西安市鄠邑区污水管理中心经办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029-84881027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中金国际项目管理有限公司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陕西省西安市雁塔区雁翔路3269号旺座曲江E座2幢3单元12层31204号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边宏远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18792738252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p>
          <w:p>
            <w:pPr>
              <w:pStyle w:val="null3"/>
            </w:pPr>
            <w:r>
              <w:rPr>
                <w:rFonts w:ascii="仿宋_GB2312" w:hAnsi="仿宋_GB2312" w:cs="仿宋_GB2312" w:eastAsia="仿宋_GB2312"/>
              </w:rPr>
              <w:t>采购包2：950,000.00元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西安市鄠邑区污水管理中心</w:t>
      </w:r>
      <w:r>
        <w:rPr>
          <w:rFonts w:ascii="仿宋_GB2312" w:hAnsi="仿宋_GB2312" w:cs="仿宋_GB2312" w:eastAsia="仿宋_GB2312"/>
        </w:rPr>
        <w:t>和</w:t>
      </w:r>
      <w:r>
        <w:rPr>
          <w:rFonts w:ascii="仿宋_GB2312" w:hAnsi="仿宋_GB2312" w:cs="仿宋_GB2312" w:eastAsia="仿宋_GB2312"/>
        </w:rPr>
        <w:t>中金国际项目管理有限公司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西安市鄠邑区污水管理中心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中金国际项目管理有限公司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西安市鄠邑区污水管理中心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中金国际项目管理有限公司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按照磋商文件及成交供应商的磋商响应文件进行履约验收。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按照磋商文件及成交供应商的磋商响应文件进行履约验收。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联系人：边宏远</w:t>
      </w:r>
    </w:p>
    <w:p>
      <w:pPr>
        <w:pStyle w:val="null3"/>
      </w:pPr>
      <w:r>
        <w:rPr>
          <w:rFonts w:ascii="仿宋_GB2312" w:hAnsi="仿宋_GB2312" w:cs="仿宋_GB2312" w:eastAsia="仿宋_GB2312"/>
        </w:rPr>
        <w:t>联系电话：18792738252</w:t>
      </w:r>
    </w:p>
    <w:p>
      <w:pPr>
        <w:pStyle w:val="null3"/>
      </w:pPr>
      <w:r>
        <w:rPr>
          <w:rFonts w:ascii="仿宋_GB2312" w:hAnsi="仿宋_GB2312" w:cs="仿宋_GB2312" w:eastAsia="仿宋_GB2312"/>
        </w:rPr>
        <w:t>地址：陕西省西安市雁塔区雁翔路3269号旺座曲江E座2幢3单元12层31204号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为加快推进PPP项目社会资本方的退出，确保此项工作合规合法开展，需聘请第三方专业机构承担PPP项目的勘察测量、变更、工程结算、移交协助、评估报告、未验收工程处理、占地事项审核、合同谈判等工作。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项目终止第三方咨询服务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项目结算审核第三方服务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标的名称：项目终止第三方咨询服务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rPr>
              <w:t>.项目概况</w:t>
            </w:r>
          </w:p>
          <w:p>
            <w:pPr>
              <w:pStyle w:val="null3"/>
            </w:pPr>
            <w:r>
              <w:rPr>
                <w:rFonts w:ascii="仿宋_GB2312" w:hAnsi="仿宋_GB2312" w:cs="仿宋_GB2312" w:eastAsia="仿宋_GB2312"/>
              </w:rPr>
              <w:t>依据西安市鄠邑区农村生活污水处理一期工程</w:t>
            </w:r>
            <w:r>
              <w:rPr>
                <w:rFonts w:ascii="仿宋_GB2312" w:hAnsi="仿宋_GB2312" w:cs="仿宋_GB2312" w:eastAsia="仿宋_GB2312"/>
              </w:rPr>
              <w:t>PPP项目可行性研究报告批复，项目涉及约126个行政村，372座站点，投资约8.04亿元。在社会资本招标完成且SPV公司成立后，经初步设计调整，实际涉及约50个行政村，64座站点，初步设计概算投资调整为4.63亿元。目前，项目呈现多种状态，其中11座农村污水处理站已建成3年左右，3座污水处理站正在建设，合计14座站点移交给鄠邑区生态公司；除八里坪8座站点外，另外42座农村污水处理站处于部分建成阶段。受PPP政策变动及项目现状限制，经协商项目资本方有退出意愿。鉴于项目标段多、子项完工情况不同，且包含PPP咨询及造价咨询2项工作，情况较为复杂，在社会资本退出过程中，补偿计算及相关工作需谨慎处理。为此，拟将项目整体咨询服务分为2个标段，选择具有丰富PPP项目相关经验，尤其是在污水处理领域有成功案例的服务机构，以保障各方合法权益。</w:t>
            </w:r>
          </w:p>
          <w:p>
            <w:pPr>
              <w:pStyle w:val="null3"/>
            </w:pPr>
            <w:r>
              <w:rPr>
                <w:rFonts w:ascii="仿宋_GB2312" w:hAnsi="仿宋_GB2312" w:cs="仿宋_GB2312" w:eastAsia="仿宋_GB2312"/>
              </w:rPr>
              <w:t>二</w:t>
            </w:r>
            <w:r>
              <w:rPr>
                <w:rFonts w:ascii="仿宋_GB2312" w:hAnsi="仿宋_GB2312" w:cs="仿宋_GB2312" w:eastAsia="仿宋_GB2312"/>
              </w:rPr>
              <w:t>.服务内容</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w:t>
            </w:r>
            <w:r>
              <w:rPr>
                <w:rFonts w:ascii="仿宋_GB2312" w:hAnsi="仿宋_GB2312" w:cs="仿宋_GB2312" w:eastAsia="仿宋_GB2312"/>
              </w:rPr>
              <w:t>1）编制项目咨询方案。通过分析项目背景、市场需求、终止流程、在项目工程结算基础上展开财务评价、投资风险、项目谈判等内容的PPP终止论证。</w:t>
            </w:r>
          </w:p>
          <w:p>
            <w:pPr>
              <w:pStyle w:val="null3"/>
            </w:pPr>
            <w:r>
              <w:rPr>
                <w:rFonts w:ascii="仿宋_GB2312" w:hAnsi="仿宋_GB2312" w:cs="仿宋_GB2312" w:eastAsia="仿宋_GB2312"/>
              </w:rPr>
              <w:t>（</w:t>
            </w:r>
            <w:r>
              <w:rPr>
                <w:rFonts w:ascii="仿宋_GB2312" w:hAnsi="仿宋_GB2312" w:cs="仿宋_GB2312" w:eastAsia="仿宋_GB2312"/>
              </w:rPr>
              <w:t>2）编制项目实施方案。为项目编制切实可行、拆解到具体步骤的实施方案，为项目按照PPP项目终止操作提供依据。</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根据实际业务需要，编制符合要求的资产评估报告。</w:t>
            </w:r>
            <w:r>
              <w:rPr>
                <w:rFonts w:ascii="仿宋_GB2312" w:hAnsi="仿宋_GB2312" w:cs="仿宋_GB2312" w:eastAsia="仿宋_GB2312"/>
              </w:rPr>
              <w:t>包含</w:t>
            </w:r>
            <w:r>
              <w:rPr>
                <w:rFonts w:ascii="仿宋_GB2312" w:hAnsi="仿宋_GB2312" w:cs="仿宋_GB2312" w:eastAsia="仿宋_GB2312"/>
              </w:rPr>
              <w:t>评估项目目的、假设、程序、标准、依据、方法、结果及适用条件等。</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根据实际业务需要，编制符合要求的专项审计报告</w:t>
            </w:r>
            <w:r>
              <w:rPr>
                <w:rFonts w:ascii="仿宋_GB2312" w:hAnsi="仿宋_GB2312" w:cs="仿宋_GB2312" w:eastAsia="仿宋_GB2312"/>
              </w:rPr>
              <w:t>。注册会计师根据中国注册会计师审计准则的规定，在对项目实施审计工作的基础上对项目的财务报表发表专项意见，以满足进行项目</w:t>
            </w:r>
            <w:r>
              <w:rPr>
                <w:rFonts w:ascii="仿宋_GB2312" w:hAnsi="仿宋_GB2312" w:cs="仿宋_GB2312" w:eastAsia="仿宋_GB2312"/>
              </w:rPr>
              <w:t>PPP终止的需要。</w:t>
            </w:r>
          </w:p>
          <w:p>
            <w:pPr>
              <w:pStyle w:val="null3"/>
            </w:pPr>
            <w:r>
              <w:rPr>
                <w:rFonts w:ascii="仿宋_GB2312" w:hAnsi="仿宋_GB2312" w:cs="仿宋_GB2312" w:eastAsia="仿宋_GB2312"/>
              </w:rPr>
              <w:t>（</w:t>
            </w:r>
            <w:r>
              <w:rPr>
                <w:rFonts w:ascii="仿宋_GB2312" w:hAnsi="仿宋_GB2312" w:cs="仿宋_GB2312" w:eastAsia="仿宋_GB2312"/>
              </w:rPr>
              <w:t>5）编制专项法律意见书。基于国家法律法规、行业政策及实务经验，对该项目事项的合法性、合规性、法律风险等问题进行评估，出具专项法律意见书，满足进行项目PPP终止的需要。</w:t>
            </w:r>
          </w:p>
          <w:p>
            <w:pPr>
              <w:pStyle w:val="null3"/>
            </w:pPr>
            <w:r>
              <w:rPr>
                <w:rFonts w:ascii="仿宋_GB2312" w:hAnsi="仿宋_GB2312" w:cs="仿宋_GB2312" w:eastAsia="仿宋_GB2312"/>
              </w:rPr>
              <w:t>三</w:t>
            </w:r>
            <w:r>
              <w:rPr>
                <w:rFonts w:ascii="仿宋_GB2312" w:hAnsi="仿宋_GB2312" w:cs="仿宋_GB2312" w:eastAsia="仿宋_GB2312"/>
              </w:rPr>
              <w:t>、项目必要性</w:t>
            </w:r>
          </w:p>
          <w:p>
            <w:pPr>
              <w:pStyle w:val="null3"/>
            </w:pPr>
            <w:r>
              <w:rPr>
                <w:rFonts w:ascii="仿宋_GB2312" w:hAnsi="仿宋_GB2312" w:cs="仿宋_GB2312" w:eastAsia="仿宋_GB2312"/>
              </w:rPr>
              <w:t>（一）破解项目复杂困局，保障公共服务连续性的需要</w:t>
            </w:r>
          </w:p>
          <w:p>
            <w:pPr>
              <w:pStyle w:val="null3"/>
              <w:ind w:firstLine="400"/>
            </w:pPr>
            <w:r>
              <w:rPr>
                <w:rFonts w:ascii="仿宋_GB2312" w:hAnsi="仿宋_GB2312" w:cs="仿宋_GB2312" w:eastAsia="仿宋_GB2312"/>
              </w:rPr>
              <w:t>当前项目涉及</w:t>
            </w:r>
            <w:r>
              <w:rPr>
                <w:rFonts w:ascii="仿宋_GB2312" w:hAnsi="仿宋_GB2312" w:cs="仿宋_GB2312" w:eastAsia="仿宋_GB2312"/>
              </w:rPr>
              <w:t>126个行政村的372座站点缩减至50个行政村的64座站点，仅14座完成移交，42座处于部分建成阶段，且存在“已建、在建、未建”多状态并存的复杂情况。社会资本方因政策变动及现状限制提出退出，若缺乏专业咨询支持，易导致补偿标准不清晰、资产移交混乱、工程结算争议等问题，直接影响农村生活污水处理设施的持续运营。作为政府主管部门，需通过专业咨询明确各方权责，确保公共服务不中断，避免出现“半拉子工程”损害群众利益。</w:t>
            </w:r>
          </w:p>
          <w:p>
            <w:pPr>
              <w:pStyle w:val="null3"/>
            </w:pPr>
            <w:r>
              <w:rPr>
                <w:rFonts w:ascii="仿宋_GB2312" w:hAnsi="仿宋_GB2312" w:cs="仿宋_GB2312" w:eastAsia="仿宋_GB2312"/>
              </w:rPr>
              <w:t>（二）防范法律与廉政风险，确保退出程序合规性的需要</w:t>
            </w:r>
          </w:p>
          <w:p>
            <w:pPr>
              <w:pStyle w:val="null3"/>
              <w:ind w:firstLine="400"/>
            </w:pPr>
            <w:r>
              <w:rPr>
                <w:rFonts w:ascii="仿宋_GB2312" w:hAnsi="仿宋_GB2312" w:cs="仿宋_GB2312" w:eastAsia="仿宋_GB2312"/>
              </w:rPr>
              <w:t>PPP项目终止涉及合同解除、资产处置、补偿计算等关键环节，且需符合《政府和社会资本合作项目通用合同指南》《PPP项目合同管理操作指引》等政策要求。当前项目因政策变动引发退出，若自行处理可能存在程序不合规、法律依据不充分等问题，埋下风险隐患。引入专业咨询机构编制资产评估报告、专项法律意见书等，可依托其法律与合规经验，确保退出过程全程留痕、有据可查，保障政府方决策的合法性与规范性。</w:t>
            </w:r>
          </w:p>
          <w:p>
            <w:pPr>
              <w:pStyle w:val="null3"/>
            </w:pPr>
            <w:r>
              <w:rPr>
                <w:rFonts w:ascii="仿宋_GB2312" w:hAnsi="仿宋_GB2312" w:cs="仿宋_GB2312" w:eastAsia="仿宋_GB2312"/>
              </w:rPr>
              <w:t>（三）精准测算补偿成本，维护财政资金使用效益的需要</w:t>
            </w:r>
          </w:p>
          <w:p>
            <w:pPr>
              <w:pStyle w:val="null3"/>
              <w:ind w:firstLine="400"/>
            </w:pPr>
            <w:r>
              <w:rPr>
                <w:rFonts w:ascii="仿宋_GB2312" w:hAnsi="仿宋_GB2312" w:cs="仿宋_GB2312" w:eastAsia="仿宋_GB2312"/>
              </w:rPr>
              <w:t>项目原概算</w:t>
            </w:r>
            <w:r>
              <w:rPr>
                <w:rFonts w:ascii="仿宋_GB2312" w:hAnsi="仿宋_GB2312" w:cs="仿宋_GB2312" w:eastAsia="仿宋_GB2312"/>
              </w:rPr>
              <w:t>8.04亿元，调整后为4.63亿元，投资规模大幅变动，且不同站点的完工进度、资产价值差异显著。若补偿标准不合理，可能导致财政资金浪费或社会资本方异议。通过咨询服务开展工程结算审核、造价审计等工作，可精准核算已建工程价值、未完成工程量及资产残值，为补偿谈判提供客观依据，避免财政资金“多付”或“少付”，确保每一笔资金都用在刀刃上，符合政府部门“过紧日子”的财政管理要求。</w:t>
            </w:r>
          </w:p>
          <w:p>
            <w:pPr>
              <w:pStyle w:val="null3"/>
            </w:pPr>
            <w:r>
              <w:rPr>
                <w:rFonts w:ascii="仿宋_GB2312" w:hAnsi="仿宋_GB2312" w:cs="仿宋_GB2312" w:eastAsia="仿宋_GB2312"/>
              </w:rPr>
              <w:t>（四）解决历史遗留问题，推动项目后续实施的需要</w:t>
            </w:r>
          </w:p>
          <w:p>
            <w:pPr>
              <w:pStyle w:val="null3"/>
              <w:ind w:firstLine="400"/>
            </w:pPr>
            <w:r>
              <w:rPr>
                <w:rFonts w:ascii="仿宋_GB2312" w:hAnsi="仿宋_GB2312" w:cs="仿宋_GB2312" w:eastAsia="仿宋_GB2312"/>
              </w:rPr>
              <w:t>项目中</w:t>
            </w:r>
            <w:r>
              <w:rPr>
                <w:rFonts w:ascii="仿宋_GB2312" w:hAnsi="仿宋_GB2312" w:cs="仿宋_GB2312" w:eastAsia="仿宋_GB2312"/>
              </w:rPr>
              <w:t>42座站点处于“部分建成”状态，存在未验收工程、变更手续不完善等历史遗留问题。若不通过专业咨询梳理整改，可能导致资产闲置、功能无法发挥，违背农村生活污水处理的初衷。咨询服务可协助完成未验收工程质量评定、工程量清算及手续补正，为项目后续由区生态公司接手扫清障碍，确保污水处理设施尽快投入使用，助力鄠邑区农村人居环境改善和污染防治攻坚战目标实现。</w:t>
            </w:r>
          </w:p>
          <w:p>
            <w:pPr>
              <w:pStyle w:val="null3"/>
            </w:pPr>
            <w:r>
              <w:rPr>
                <w:rFonts w:ascii="仿宋_GB2312" w:hAnsi="仿宋_GB2312" w:cs="仿宋_GB2312" w:eastAsia="仿宋_GB2312"/>
              </w:rPr>
              <w:t>四、服务期限</w:t>
            </w:r>
          </w:p>
          <w:p>
            <w:pPr>
              <w:pStyle w:val="null3"/>
            </w:pPr>
            <w:r>
              <w:rPr>
                <w:rFonts w:ascii="仿宋_GB2312" w:hAnsi="仿宋_GB2312" w:cs="仿宋_GB2312" w:eastAsia="仿宋_GB2312"/>
              </w:rPr>
              <w:t>自合同签订之日起</w:t>
            </w:r>
            <w:r>
              <w:rPr>
                <w:rFonts w:ascii="仿宋_GB2312" w:hAnsi="仿宋_GB2312" w:cs="仿宋_GB2312" w:eastAsia="仿宋_GB2312"/>
              </w:rPr>
              <w:t>180日历天内完成全部项目社会资本方退出</w:t>
            </w:r>
            <w:r>
              <w:rPr>
                <w:rFonts w:ascii="仿宋_GB2312" w:hAnsi="仿宋_GB2312" w:cs="仿宋_GB2312" w:eastAsia="仿宋_GB2312"/>
              </w:rPr>
              <w:t>手续且相关报告通过审核。</w:t>
            </w:r>
          </w:p>
          <w:p>
            <w:pPr>
              <w:pStyle w:val="null3"/>
            </w:pPr>
            <w:r>
              <w:rPr>
                <w:rFonts w:ascii="仿宋_GB2312" w:hAnsi="仿宋_GB2312" w:cs="仿宋_GB2312" w:eastAsia="仿宋_GB2312"/>
              </w:rPr>
              <w:t>五、服务质量标准</w:t>
            </w:r>
          </w:p>
          <w:p>
            <w:pPr>
              <w:pStyle w:val="null3"/>
              <w:jc w:val="both"/>
            </w:pPr>
            <w:r>
              <w:rPr>
                <w:rFonts w:ascii="仿宋_GB2312" w:hAnsi="仿宋_GB2312" w:cs="仿宋_GB2312" w:eastAsia="仿宋_GB2312"/>
                <w:sz w:val="21"/>
              </w:rPr>
              <w:t>所有成果文件需符合《政府和社会资本合作项目退出指引》《建设工程造价咨询规范》等国家及行业标准，通过政府方及相关主管部门审核。</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标的名称：项目结算审核第三方服务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rPr>
              <w:t>.项目概况</w:t>
            </w:r>
          </w:p>
          <w:p>
            <w:pPr>
              <w:pStyle w:val="null3"/>
            </w:pPr>
            <w:r>
              <w:rPr>
                <w:rFonts w:ascii="仿宋_GB2312" w:hAnsi="仿宋_GB2312" w:cs="仿宋_GB2312" w:eastAsia="仿宋_GB2312"/>
              </w:rPr>
              <w:t>依据西安市鄠邑区农村生活污水处理一期工程</w:t>
            </w:r>
            <w:r>
              <w:rPr>
                <w:rFonts w:ascii="仿宋_GB2312" w:hAnsi="仿宋_GB2312" w:cs="仿宋_GB2312" w:eastAsia="仿宋_GB2312"/>
              </w:rPr>
              <w:t>PPP项目可行性研究报告批复，项目涉及约126个行政村，372座站点，投资约8.04亿元。在社会资本招标完成且SPV公司成立后，经初步设计调整，实际涉及约50个行政村，64座站点，初步设计概算投资调整为4.63亿元。目前，项目呈现多种状态，其中11座农村污水处理站已建成3年左右，3座污水处理站正在建设，合计14座站点移交给鄠邑区生态公司；除八里坪8座站点外，另外42座农村污水处理站处于部分建成阶段。受PPP政策变动及项目现状限制，经协商项目资本方有退出意愿。鉴于项目标段多、子项完工情况不同，且包含PPP咨询及造价咨询2项工作，情况较为复杂，在社会资本退出过程中，补偿计算及相关工作需谨慎处理。为此，拟将项目整体咨询服务分为2个标段，选择具有丰富PPP项目相关经验，尤其是在污水处理领域有成功案例的服务机构，以保障各方合法权益。</w:t>
            </w:r>
          </w:p>
          <w:p>
            <w:pPr>
              <w:pStyle w:val="null3"/>
            </w:pPr>
            <w:r>
              <w:rPr>
                <w:rFonts w:ascii="仿宋_GB2312" w:hAnsi="仿宋_GB2312" w:cs="仿宋_GB2312" w:eastAsia="仿宋_GB2312"/>
              </w:rPr>
              <w:t>二</w:t>
            </w:r>
            <w:r>
              <w:rPr>
                <w:rFonts w:ascii="仿宋_GB2312" w:hAnsi="仿宋_GB2312" w:cs="仿宋_GB2312" w:eastAsia="仿宋_GB2312"/>
              </w:rPr>
              <w:t>.服务内容</w:t>
            </w:r>
          </w:p>
          <w:p>
            <w:pPr>
              <w:pStyle w:val="null3"/>
            </w:pPr>
            <w:r>
              <w:rPr>
                <w:rFonts w:ascii="仿宋_GB2312" w:hAnsi="仿宋_GB2312" w:cs="仿宋_GB2312" w:eastAsia="仿宋_GB2312"/>
              </w:rPr>
              <w:t>采购包</w:t>
            </w:r>
            <w:r>
              <w:rPr>
                <w:rFonts w:ascii="仿宋_GB2312" w:hAnsi="仿宋_GB2312" w:cs="仿宋_GB2312" w:eastAsia="仿宋_GB2312"/>
              </w:rPr>
              <w:t>2</w:t>
            </w:r>
          </w:p>
          <w:p>
            <w:pPr>
              <w:pStyle w:val="null3"/>
            </w:pPr>
            <w:r>
              <w:rPr>
                <w:rFonts w:ascii="仿宋_GB2312" w:hAnsi="仿宋_GB2312" w:cs="仿宋_GB2312" w:eastAsia="仿宋_GB2312"/>
              </w:rPr>
              <w:t>（</w:t>
            </w:r>
            <w:r>
              <w:rPr>
                <w:rFonts w:ascii="仿宋_GB2312" w:hAnsi="仿宋_GB2312" w:cs="仿宋_GB2312" w:eastAsia="仿宋_GB2312"/>
              </w:rPr>
              <w:t>1）勘察测量。对项目涉及的污水处理设施及场地实施实地勘察和测量，获取准确的工程数据和场地信息。确保数据全面覆盖“已建、在建、未建”全场景，为后续资料审核、工程结算等工作提供权威基准数据支撑。</w:t>
            </w:r>
          </w:p>
          <w:p>
            <w:pPr>
              <w:pStyle w:val="null3"/>
            </w:pPr>
            <w:r>
              <w:rPr>
                <w:rFonts w:ascii="仿宋_GB2312" w:hAnsi="仿宋_GB2312" w:cs="仿宋_GB2312" w:eastAsia="仿宋_GB2312"/>
              </w:rPr>
              <w:t>（</w:t>
            </w:r>
            <w:r>
              <w:rPr>
                <w:rFonts w:ascii="仿宋_GB2312" w:hAnsi="仿宋_GB2312" w:cs="仿宋_GB2312" w:eastAsia="仿宋_GB2312"/>
              </w:rPr>
              <w:t>2）资料审核与完善。对项目全周期造价实施审计，重点核查造价的真实性、合理性与合规性。结合勘察测量数据，对比工程量清单与实际施工内容，重点审核材料价格与区域市场价的匹配性，核查是否存在虚报工程量（如管网长度多报）等问题，发现偏差后及时与项目单位沟通，指导完成整改复核。</w:t>
            </w:r>
          </w:p>
          <w:p>
            <w:pPr>
              <w:pStyle w:val="null3"/>
            </w:pPr>
            <w:r>
              <w:rPr>
                <w:rFonts w:ascii="仿宋_GB2312" w:hAnsi="仿宋_GB2312" w:cs="仿宋_GB2312" w:eastAsia="仿宋_GB2312"/>
              </w:rPr>
              <w:t>（</w:t>
            </w:r>
            <w:r>
              <w:rPr>
                <w:rFonts w:ascii="仿宋_GB2312" w:hAnsi="仿宋_GB2312" w:cs="仿宋_GB2312" w:eastAsia="仿宋_GB2312"/>
              </w:rPr>
              <w:t>3）变更审核与管理。负责项目调整及工程重大设计变更的审核工作，严格依据相关规范、标准及合同约定，对变更的必要性、合规性及造价合理性进行核验。对审定通过的变更内容，推动纳入工程计量范围并启动拨付程序，全程跟踪变更执行及资金拨付进度，保障变更管理规范有序。</w:t>
            </w:r>
          </w:p>
          <w:p>
            <w:pPr>
              <w:pStyle w:val="null3"/>
            </w:pPr>
            <w:r>
              <w:rPr>
                <w:rFonts w:ascii="仿宋_GB2312" w:hAnsi="仿宋_GB2312" w:cs="仿宋_GB2312" w:eastAsia="仿宋_GB2312"/>
              </w:rPr>
              <w:t>（</w:t>
            </w:r>
            <w:r>
              <w:rPr>
                <w:rFonts w:ascii="仿宋_GB2312" w:hAnsi="仿宋_GB2312" w:cs="仿宋_GB2312" w:eastAsia="仿宋_GB2312"/>
              </w:rPr>
              <w:t>4）工程结算与移交协助。依据法律法规、合同文件及工程实际完成情况，开展工程结算审计。协助相关部门完成竣工验收手续，推动固定资产顺利移交。</w:t>
            </w:r>
          </w:p>
          <w:p>
            <w:pPr>
              <w:pStyle w:val="null3"/>
            </w:pPr>
            <w:r>
              <w:rPr>
                <w:rFonts w:ascii="仿宋_GB2312" w:hAnsi="仿宋_GB2312" w:cs="仿宋_GB2312" w:eastAsia="仿宋_GB2312"/>
              </w:rPr>
              <w:t>（</w:t>
            </w:r>
            <w:r>
              <w:rPr>
                <w:rFonts w:ascii="仿宋_GB2312" w:hAnsi="仿宋_GB2312" w:cs="仿宋_GB2312" w:eastAsia="仿宋_GB2312"/>
              </w:rPr>
              <w:t>5）报告出具。在全域造价审计基础上，汇总各方意见，结合项目实际情况，编制客观、公正的审核清算报告。报告需明确项目造价审核结果、存在问题及整改建议，全面反映项目全周期造价管理情况，为项目退出提供专业、权威的决策依据。</w:t>
            </w:r>
          </w:p>
          <w:p>
            <w:pPr>
              <w:pStyle w:val="null3"/>
            </w:pPr>
            <w:r>
              <w:rPr>
                <w:rFonts w:ascii="仿宋_GB2312" w:hAnsi="仿宋_GB2312" w:cs="仿宋_GB2312" w:eastAsia="仿宋_GB2312"/>
              </w:rPr>
              <w:t>（</w:t>
            </w:r>
            <w:r>
              <w:rPr>
                <w:rFonts w:ascii="仿宋_GB2312" w:hAnsi="仿宋_GB2312" w:cs="仿宋_GB2312" w:eastAsia="仿宋_GB2312"/>
              </w:rPr>
              <w:t>6）未验收工程处理。组建多组专业技术团队，对未验收工程实施质量评定与工程量清算。与相关责任方共同分析工程遗留问题成因，制定针对性解决方案。</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sz w:val="21"/>
              </w:rPr>
              <w:t>合同谈判与处理。</w:t>
            </w:r>
            <w:r>
              <w:rPr>
                <w:rFonts w:ascii="仿宋_GB2312" w:hAnsi="仿宋_GB2312" w:cs="仿宋_GB2312" w:eastAsia="仿宋_GB2312"/>
              </w:rPr>
              <w:t>协助提供社会资本退出造价咨询未完成工程量清算报告及已完成工程量结算审核报告等资料。</w:t>
            </w:r>
          </w:p>
          <w:p>
            <w:pPr>
              <w:pStyle w:val="null3"/>
            </w:pPr>
            <w:r>
              <w:rPr>
                <w:rFonts w:ascii="仿宋_GB2312" w:hAnsi="仿宋_GB2312" w:cs="仿宋_GB2312" w:eastAsia="仿宋_GB2312"/>
              </w:rPr>
              <w:t>（</w:t>
            </w:r>
            <w:r>
              <w:rPr>
                <w:rFonts w:ascii="仿宋_GB2312" w:hAnsi="仿宋_GB2312" w:cs="仿宋_GB2312" w:eastAsia="仿宋_GB2312"/>
              </w:rPr>
              <w:t>8）手续完善与报告编制。对审核、清算过程中发现的问题进行分类梳理，分项提出明确意见，依据政府会议要求指导项目单位完善手续，督促整改落实。全面总结前期工作成果，整合勘察测量、资料审核、结算审计等全环节数据，编制规范完整的审核清算报告。</w:t>
            </w:r>
          </w:p>
          <w:p>
            <w:pPr>
              <w:pStyle w:val="null3"/>
            </w:pPr>
            <w:r>
              <w:rPr>
                <w:rFonts w:ascii="仿宋_GB2312" w:hAnsi="仿宋_GB2312" w:cs="仿宋_GB2312" w:eastAsia="仿宋_GB2312"/>
              </w:rPr>
              <w:t>三</w:t>
            </w:r>
            <w:r>
              <w:rPr>
                <w:rFonts w:ascii="仿宋_GB2312" w:hAnsi="仿宋_GB2312" w:cs="仿宋_GB2312" w:eastAsia="仿宋_GB2312"/>
              </w:rPr>
              <w:t>、项目必要性</w:t>
            </w:r>
          </w:p>
          <w:p>
            <w:pPr>
              <w:pStyle w:val="null3"/>
            </w:pPr>
            <w:r>
              <w:rPr>
                <w:rFonts w:ascii="仿宋_GB2312" w:hAnsi="仿宋_GB2312" w:cs="仿宋_GB2312" w:eastAsia="仿宋_GB2312"/>
              </w:rPr>
              <w:t>（一）破解项目复杂困局，保障公共服务连续性的需要</w:t>
            </w:r>
          </w:p>
          <w:p>
            <w:pPr>
              <w:pStyle w:val="null3"/>
              <w:ind w:firstLine="400"/>
            </w:pPr>
            <w:r>
              <w:rPr>
                <w:rFonts w:ascii="仿宋_GB2312" w:hAnsi="仿宋_GB2312" w:cs="仿宋_GB2312" w:eastAsia="仿宋_GB2312"/>
              </w:rPr>
              <w:t>当前项目涉及</w:t>
            </w:r>
            <w:r>
              <w:rPr>
                <w:rFonts w:ascii="仿宋_GB2312" w:hAnsi="仿宋_GB2312" w:cs="仿宋_GB2312" w:eastAsia="仿宋_GB2312"/>
              </w:rPr>
              <w:t>126个行政村的372座站点缩减至50个行政村的64座站点，仅14座完成移交，42座处于部分建成阶段，且存在“已建、在建、未建”多状态并存的复杂情况。社会资本方因政策变动及现状限制提出退出，若缺乏专业咨询支持，易导致补偿标准不清晰、资产移交混乱、工程结算争议等问题，直接影响农村生活污水处理设施的持续运营。作为政府主管部门，需通过专业咨询明确各方权责，确保公共服务不中断，避免出现“半拉子工程”损害群众利益。</w:t>
            </w:r>
          </w:p>
          <w:p>
            <w:pPr>
              <w:pStyle w:val="null3"/>
            </w:pPr>
            <w:r>
              <w:rPr>
                <w:rFonts w:ascii="仿宋_GB2312" w:hAnsi="仿宋_GB2312" w:cs="仿宋_GB2312" w:eastAsia="仿宋_GB2312"/>
              </w:rPr>
              <w:t>（二）防范法律与廉政风险，确保退出程序合规性的需要</w:t>
            </w:r>
          </w:p>
          <w:p>
            <w:pPr>
              <w:pStyle w:val="null3"/>
              <w:ind w:firstLine="400"/>
            </w:pPr>
            <w:r>
              <w:rPr>
                <w:rFonts w:ascii="仿宋_GB2312" w:hAnsi="仿宋_GB2312" w:cs="仿宋_GB2312" w:eastAsia="仿宋_GB2312"/>
              </w:rPr>
              <w:t>PPP项目终止涉及合同解除、资产处置、补偿计算等关键环节，且需符合《政府和社会资本合作项目通用合同指南》《PPP项目合同管理操作指引》等政策要求。当前项目因政策变动引发退出，若自行处理可能存在程序不合规、法律依据不充分等问题，埋下风险隐患。引入专业咨询机构编制资产评估报告、专项法律意见书等，可依托其法律与合规经验，确保退出过程全程留痕、有据可查，保障政府方决策的合法性与规范性。</w:t>
            </w:r>
          </w:p>
          <w:p>
            <w:pPr>
              <w:pStyle w:val="null3"/>
            </w:pPr>
            <w:r>
              <w:rPr>
                <w:rFonts w:ascii="仿宋_GB2312" w:hAnsi="仿宋_GB2312" w:cs="仿宋_GB2312" w:eastAsia="仿宋_GB2312"/>
              </w:rPr>
              <w:t>（三）精准测算补偿成本，维护财政资金使用效益的需要</w:t>
            </w:r>
          </w:p>
          <w:p>
            <w:pPr>
              <w:pStyle w:val="null3"/>
              <w:ind w:firstLine="400"/>
            </w:pPr>
            <w:r>
              <w:rPr>
                <w:rFonts w:ascii="仿宋_GB2312" w:hAnsi="仿宋_GB2312" w:cs="仿宋_GB2312" w:eastAsia="仿宋_GB2312"/>
              </w:rPr>
              <w:t>项目原概算</w:t>
            </w:r>
            <w:r>
              <w:rPr>
                <w:rFonts w:ascii="仿宋_GB2312" w:hAnsi="仿宋_GB2312" w:cs="仿宋_GB2312" w:eastAsia="仿宋_GB2312"/>
              </w:rPr>
              <w:t>8.04亿元，调整后为4.63亿元，投资规模大幅变动，且不同站点的完工进度、资产价值差异显著。若补偿标准不合理，可能导致财政资金浪费或社会资本方异议。通过咨询服务开展工程结算审核、造价审计等工作，可精准核算已建工程价值、未完成工程量及资产残值，为补偿谈判提供客观依据，避免财政资金“多付”或“少付”，确保每一笔资金都用在刀刃上，符合政府部门“过紧日子”的财政管理要求。</w:t>
            </w:r>
          </w:p>
          <w:p>
            <w:pPr>
              <w:pStyle w:val="null3"/>
            </w:pPr>
            <w:r>
              <w:rPr>
                <w:rFonts w:ascii="仿宋_GB2312" w:hAnsi="仿宋_GB2312" w:cs="仿宋_GB2312" w:eastAsia="仿宋_GB2312"/>
              </w:rPr>
              <w:t>（四）解决历史遗留问题，推动项目后续实施的需要</w:t>
            </w:r>
          </w:p>
          <w:p>
            <w:pPr>
              <w:pStyle w:val="null3"/>
              <w:ind w:firstLine="400"/>
            </w:pPr>
            <w:r>
              <w:rPr>
                <w:rFonts w:ascii="仿宋_GB2312" w:hAnsi="仿宋_GB2312" w:cs="仿宋_GB2312" w:eastAsia="仿宋_GB2312"/>
              </w:rPr>
              <w:t>项目中</w:t>
            </w:r>
            <w:r>
              <w:rPr>
                <w:rFonts w:ascii="仿宋_GB2312" w:hAnsi="仿宋_GB2312" w:cs="仿宋_GB2312" w:eastAsia="仿宋_GB2312"/>
              </w:rPr>
              <w:t>42座站点处于“部分建成”状态，存在未验收工程、变更手续不完善等历史遗留问题。若不通过专业咨询梳理整改，可能导致资产闲置、功能无法发挥，违背农村生活污水处理的初衷。咨询服务可协助完成未验收工程质量评定、工程量清算及手续补正，为项目后续由区生态公司接手扫清障碍，确保污水处理设施尽快投入使用，助力鄠邑区农村人居环境改善和污染防治攻坚战目标实现。</w:t>
            </w:r>
          </w:p>
          <w:p>
            <w:pPr>
              <w:pStyle w:val="null3"/>
            </w:pPr>
            <w:r>
              <w:rPr>
                <w:rFonts w:ascii="仿宋_GB2312" w:hAnsi="仿宋_GB2312" w:cs="仿宋_GB2312" w:eastAsia="仿宋_GB2312"/>
              </w:rPr>
              <w:t>四、服务期限</w:t>
            </w:r>
          </w:p>
          <w:p>
            <w:pPr>
              <w:pStyle w:val="null3"/>
            </w:pPr>
            <w:r>
              <w:rPr>
                <w:rFonts w:ascii="仿宋_GB2312" w:hAnsi="仿宋_GB2312" w:cs="仿宋_GB2312" w:eastAsia="仿宋_GB2312"/>
              </w:rPr>
              <w:t>自合同签订之日起</w:t>
            </w:r>
            <w:r>
              <w:rPr>
                <w:rFonts w:ascii="仿宋_GB2312" w:hAnsi="仿宋_GB2312" w:cs="仿宋_GB2312" w:eastAsia="仿宋_GB2312"/>
              </w:rPr>
              <w:t>180日历天内完成全部项目的结算审核报告。</w:t>
            </w:r>
          </w:p>
          <w:p>
            <w:pPr>
              <w:pStyle w:val="null3"/>
            </w:pPr>
            <w:r>
              <w:rPr>
                <w:rFonts w:ascii="仿宋_GB2312" w:hAnsi="仿宋_GB2312" w:cs="仿宋_GB2312" w:eastAsia="仿宋_GB2312"/>
              </w:rPr>
              <w:t>五、服务质量标准</w:t>
            </w:r>
          </w:p>
          <w:p>
            <w:pPr>
              <w:pStyle w:val="null3"/>
              <w:jc w:val="both"/>
            </w:pPr>
            <w:r>
              <w:rPr>
                <w:rFonts w:ascii="仿宋_GB2312" w:hAnsi="仿宋_GB2312" w:cs="仿宋_GB2312" w:eastAsia="仿宋_GB2312"/>
                <w:sz w:val="21"/>
              </w:rPr>
              <w:t>所有成果文件需符合《政府和社会资本合作项目退出指引》《建设工程造价咨询规范》等国家及行业标准，通过政府方及相关主管部门审核。</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自合同签订之日起180日历天内完成全部项目社会资本方退出手续且相关报告通过审核。</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自合同签订之日起180日历天内完成全部项目的结算审核报告。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合同签订后，支付合同总价款的30%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项目进度完成至70%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完成全部合同约定任务并提交成果资料后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项目结算审计完成经甲方确认后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项目进度完成至70%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完成全部合同约定任务并提交成果资料后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项目结算审计完成经甲方确认后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本合同履行若发生争议，双方应协商解决，协商不成，向甲方所在地有管辖权的人民法院提起诉讼。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本合同履行若发生争议，双方应协商解决，协商不成，向甲方所在地有管辖权的人民法院提起诉讼。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二）为顺利推进政府采购电子化交易平台应用工作，供应商需要在线提交所有通过电子化交易平台实施的政府采购项目的响应文件，同时，成交供应商领取成交通知书时，应线下提交纸质版响应文件，正本壹份、副本贰套、电子版壹套（U盘）至代理机构。 线上电子响应文件与纸质响应文件一致;若正本和副本不符，以正本为准。（三）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采〔2022〕5号）、《陕西省财政厅关于落实政府采购支持中小企业政策有关事项的通知》（陕财办采〔2022〕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三部门联合发布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陕西省中小企业政府采购信用融资办法》（陕财办采〔2018〕23号）、陕西省财政厅、中国人民银行西安分行关于深入推进政府采购信用融资业务的通知（陕财办采〔2023〕5号）；10、《关于政府采购支持绿色建材促进建筑品质提升试点工作的通知》（财库〔2020〕31号）；11、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12、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提供2024年度完整的财务审计报告（成立时间至开标时间不足一年的可提供成立后任意时段的资产负债表）或开标时间前六个月内基本账户银行出具的资信证明。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提供2024年1月至今一个月已缴纳的增值税或营业税或企业所得税的凭据或税务机关开具的完税证明;依法免税的应提供相关文件证明;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提供2024年1月至今一个月已缴存的社会保障资金缴存单据或社保机构开具的社会保险参保缴费情况证明，依法不需要缴纳社会保障资金的单位应提供相关证明材料;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控股关系说明</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合同项下的政府采购活动。除单一来源采购项目外，为采购项目提供整体设计、规范编制或者项目管理、检测等服务的供应商，不得再参加该采购项目的其他采购活动;</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提供2024年度完整的财务审计报告（成立时间至开标时间不足一年的可提供成立后任意时段的资产负债表）或开标时间前六个月内基本账户银行出具的资信证明。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提供2024年1月至今一个月已缴纳的增值税或营业税或企业所得税的凭据或税务机关开具的完税证明;依法免税的应提供相关文件证明;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提供2024年1月至今一个月已缴存的社会保障资金缴存单据或社保机构开具的社会保险参保缴费情况证明，依法不需要缴纳社会保障资金的单位应提供相关证明材料;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拟派项目负责人须具备国家一级注册造价工程师资格，并在本单位注册</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控股关系说明</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合同项下的政府采购活动。除单一来源采购项目外，为采购项目提供整体设计、规范编制或者项目管理、检测等服务的供应商，不得再参加该采购项目的其他采购活动;</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供应商资格要求.docx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供应商资格要求.docx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供应商资格要求.docx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供应商资格要求.docx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服务方案（一）</w:t>
            </w:r>
          </w:p>
        </w:tc>
        <w:tc>
          <w:tcPr>
            <w:tcW w:type="dxa" w:w="2492"/>
          </w:tcPr>
          <w:p>
            <w:pPr>
              <w:pStyle w:val="null3"/>
            </w:pPr>
            <w:r>
              <w:rPr>
                <w:rFonts w:ascii="仿宋_GB2312" w:hAnsi="仿宋_GB2312" w:cs="仿宋_GB2312" w:eastAsia="仿宋_GB2312"/>
              </w:rPr>
              <w:t>供应商对项目背景以及对项目服务内容的分析、理解与认识进行说明。 （1）对项目背景以及对项目服务内容的分析理解的准确、到位，完全满足采购人需求得 17.1-20 分； （2）对项目背景以及对项目服务内容的分析理解基本到位，得 12.1-17 分； （3）对项目背景以及对项目服务内容的分析理解一般，基本满足采购人需求得 5.1-12 分； （4）对项目背景以及对项目服务内容的分析理解简单，得1-5分；未提供不得分。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服务方案（二）</w:t>
            </w:r>
          </w:p>
        </w:tc>
        <w:tc>
          <w:tcPr>
            <w:tcW w:type="dxa" w:w="2492"/>
          </w:tcPr>
          <w:p>
            <w:pPr>
              <w:pStyle w:val="null3"/>
            </w:pPr>
            <w:r>
              <w:rPr>
                <w:rFonts w:ascii="仿宋_GB2312" w:hAnsi="仿宋_GB2312" w:cs="仿宋_GB2312" w:eastAsia="仿宋_GB2312"/>
              </w:rPr>
              <w:t>供应商提供针对本项目的整体实施方案，内容应当符合项目实施要求。 （1）技术方案科学合理，完整详细，完全满足采购人需求得17.1-20 分； （2）技术方案可行性较高，较为完整得 12.1-17 分； （3）技术方案可行性一般，基本满足采购人需求得5.1-12分； （4）技术方案简单，总体较差得 1-5分；未提供不得分。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服务方案（三）</w:t>
            </w:r>
          </w:p>
        </w:tc>
        <w:tc>
          <w:tcPr>
            <w:tcW w:type="dxa" w:w="2492"/>
          </w:tcPr>
          <w:p>
            <w:pPr>
              <w:pStyle w:val="null3"/>
            </w:pPr>
            <w:r>
              <w:rPr>
                <w:rFonts w:ascii="仿宋_GB2312" w:hAnsi="仿宋_GB2312" w:cs="仿宋_GB2312" w:eastAsia="仿宋_GB2312"/>
              </w:rPr>
              <w:t>供应商根据采购需求对本项目有具体的工作进度安排。 （1）进度安排详细、科学合理、具体可行计 12.1-15 分； （2）进度安排粗略、有可行性计5.1-12分； （3）有进度安排、可行性较差计1-5分；未提供的不得分。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服务方案（四）</w:t>
            </w:r>
          </w:p>
        </w:tc>
        <w:tc>
          <w:tcPr>
            <w:tcW w:type="dxa" w:w="2492"/>
          </w:tcPr>
          <w:p>
            <w:pPr>
              <w:pStyle w:val="null3"/>
            </w:pPr>
            <w:r>
              <w:rPr>
                <w:rFonts w:ascii="仿宋_GB2312" w:hAnsi="仿宋_GB2312" w:cs="仿宋_GB2312" w:eastAsia="仿宋_GB2312"/>
              </w:rPr>
              <w:t>供应商为本项目制定完整可行的安全保密措施，具备完善的内部保密制度、保密措施。 （1）制度完善，措施合理可行，把控严格计3.1-5 分； （2）保密制度和措施粗略、简单计1-3分；未提供不得分。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 案</w:t>
            </w:r>
          </w:p>
        </w:tc>
        <w:tc>
          <w:tcPr>
            <w:tcW w:type="dxa" w:w="2492"/>
          </w:tcPr>
          <w:p>
            <w:pPr>
              <w:pStyle w:val="null3"/>
            </w:pPr>
            <w:r>
              <w:rPr>
                <w:rFonts w:ascii="仿宋_GB2312" w:hAnsi="仿宋_GB2312" w:cs="仿宋_GB2312" w:eastAsia="仿宋_GB2312"/>
              </w:rPr>
              <w:t>供应商提供具体的质量保障方案，包括但不限于针对本项目若出现缺陷和瑕疵的应急补救措施和快速响应能力。 （1）方案合理具体可行、针对性强计 3.1-5分； （2）方案简单、可行性差计1-3 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且确保管理规划编制符合国家相关法律法规和行业的规范、标准及技术规程。（1）承诺内容清晰性、承诺指标明确性，后续服务具有可延续性计 3.1-5 分； （2）承诺及措施简单计 1-3分；未提供的不得分。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1）拟派本项目负责人：同时具有咨询工程师（投资）资格和高级职称的，得4分，否则不得分；（2）拟派往本项目其他人员需人员配备合理，团队完善:具有咨询工程师（投资）资格人数不少于2人时，得基本分4分，在此基础上每增加1名会计专业技术资格人员加1分，每增加 1名咨询工程师（投资）资格人员加 0.5分，最多加5分，满分8分。 同一人提供多个证书的可重复计分。 注：以上人员须附相应证书证件复印件或扫描件并加盖公章，否则不得分。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供应商提供2020年1月1日至今污水处理或相关水资源行业咨询服务业绩 （提供合同复印件加盖公章，时间以合同落款时间为准)，每提供一个业绩合同证明材料得2分，最高8分。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服务方案（一）</w:t>
            </w:r>
          </w:p>
        </w:tc>
        <w:tc>
          <w:tcPr>
            <w:tcW w:type="dxa" w:w="2492"/>
          </w:tcPr>
          <w:p>
            <w:pPr>
              <w:pStyle w:val="null3"/>
            </w:pPr>
            <w:r>
              <w:rPr>
                <w:rFonts w:ascii="仿宋_GB2312" w:hAnsi="仿宋_GB2312" w:cs="仿宋_GB2312" w:eastAsia="仿宋_GB2312"/>
              </w:rPr>
              <w:t>能提供全面的结算审核业务政策解读、要求审计工作业务流程符合国家相关标准、规范，并提供详细的说明。 政策解读全面、说明详细合理得 7.1-12 分； 政策解读相对全面，说明相对合理得 4.1-7 分； 政策解读不到位，说明不具有合理性得 1-4分； 未提供相关内容不得分。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服务方案（二）</w:t>
            </w:r>
          </w:p>
        </w:tc>
        <w:tc>
          <w:tcPr>
            <w:tcW w:type="dxa" w:w="2492"/>
          </w:tcPr>
          <w:p>
            <w:pPr>
              <w:pStyle w:val="null3"/>
            </w:pPr>
            <w:r>
              <w:rPr>
                <w:rFonts w:ascii="仿宋_GB2312" w:hAnsi="仿宋_GB2312" w:cs="仿宋_GB2312" w:eastAsia="仿宋_GB2312"/>
              </w:rPr>
              <w:t>根据供应商针对本项目提供本次编审工作的实施方案（包括 ①工作内容、②工作目标、③工作范围、④工作流程、⑤工作重、难点及处置措施等方面）。 每个单项方案内容完整、思路明晰合理、科学、实用、针对性强得7.1-12 分； 每个单项方案内容不够完整、思路不够明晰合理、针对性相对差弱得 1-7分； 未提供相关内容不得分。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服务方案（三）</w:t>
            </w:r>
          </w:p>
        </w:tc>
        <w:tc>
          <w:tcPr>
            <w:tcW w:type="dxa" w:w="2492"/>
          </w:tcPr>
          <w:p>
            <w:pPr>
              <w:pStyle w:val="null3"/>
            </w:pPr>
            <w:r>
              <w:rPr>
                <w:rFonts w:ascii="仿宋_GB2312" w:hAnsi="仿宋_GB2312" w:cs="仿宋_GB2312" w:eastAsia="仿宋_GB2312"/>
              </w:rPr>
              <w:t>对项目结算关键点的分析理解全面、科学、可行，且梳理出项目关键点，并给出控制策略，得6.1-10分； 对本项目的分析理解基本可行，并给出控制策略，得3.1-6分； 对本项目的分析理解差，得1-3分；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质量控制保障措施（一）</w:t>
            </w:r>
          </w:p>
        </w:tc>
        <w:tc>
          <w:tcPr>
            <w:tcW w:type="dxa" w:w="2492"/>
          </w:tcPr>
          <w:p>
            <w:pPr>
              <w:pStyle w:val="null3"/>
            </w:pPr>
            <w:r>
              <w:rPr>
                <w:rFonts w:ascii="仿宋_GB2312" w:hAnsi="仿宋_GB2312" w:cs="仿宋_GB2312" w:eastAsia="仿宋_GB2312"/>
              </w:rPr>
              <w:t>对审核依据、程序、方法、审核情况及其他说明建立健全的质量控制体系，质量保证措施得当、合理、可行，并有质量目标无法实现时的认罚承诺。 有健全的质量控制体系，质量保证措施得当、合理、可行，并有相应的认罚承诺的得6.1-10分； 质量控制体系比较健全，质量保证措施比较得当、合理、可行，并有相应认罚承诺的得4.1-6分； 质量控制体系比较差，质量保证措施合理可行性差，相应的认罚承诺响应差的得1-4分。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质量控制保障措施（二）</w:t>
            </w:r>
          </w:p>
        </w:tc>
        <w:tc>
          <w:tcPr>
            <w:tcW w:type="dxa" w:w="2492"/>
          </w:tcPr>
          <w:p>
            <w:pPr>
              <w:pStyle w:val="null3"/>
            </w:pPr>
            <w:r>
              <w:rPr>
                <w:rFonts w:ascii="仿宋_GB2312" w:hAnsi="仿宋_GB2312" w:cs="仿宋_GB2312" w:eastAsia="仿宋_GB2312"/>
              </w:rPr>
              <w:t>对服务期限、进度、人员到位情况、工作底稿准确规范性与成果文件一致性情况作出实质性承诺（应包含不能完全履行承诺时愿意接受相关处罚的承诺）。 承诺内容完善得7.1-10分； 承诺内容比较完善得4.1-7分； 有承诺但响应内容比较差的得1-4分。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质量控制保障措施（三）</w:t>
            </w:r>
          </w:p>
        </w:tc>
        <w:tc>
          <w:tcPr>
            <w:tcW w:type="dxa" w:w="2492"/>
          </w:tcPr>
          <w:p>
            <w:pPr>
              <w:pStyle w:val="null3"/>
            </w:pPr>
            <w:r>
              <w:rPr>
                <w:rFonts w:ascii="仿宋_GB2312" w:hAnsi="仿宋_GB2312" w:cs="仿宋_GB2312" w:eastAsia="仿宋_GB2312"/>
              </w:rPr>
              <w:t>对项目结算审核报告质量的保障措施,并对采购人对本项目出具正式报告前抽查及复审、采购人相关职能部门后期对本项目进行审计时均能无条件配合及承担质量等责任作出实质性承诺。 保障措施合理可行，并具有实质性承诺得7.1-10分； 保障措施比较合理可行，并具有实质性承诺的得4.1-7分； 响应比较差的得1-4分。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质量控制保障措施（四）</w:t>
            </w:r>
          </w:p>
        </w:tc>
        <w:tc>
          <w:tcPr>
            <w:tcW w:type="dxa" w:w="2492"/>
          </w:tcPr>
          <w:p>
            <w:pPr>
              <w:pStyle w:val="null3"/>
            </w:pPr>
            <w:r>
              <w:rPr>
                <w:rFonts w:ascii="仿宋_GB2312" w:hAnsi="仿宋_GB2312" w:cs="仿宋_GB2312" w:eastAsia="仿宋_GB2312"/>
              </w:rPr>
              <w:t>根据磋商文件要求提供服务承诺、廉洁承诺。服务承诺、廉洁承诺合理可行的得3.1-5分； 服务承诺、廉洁承诺比较合理可行的得1-3分；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1.项目负责人为高级职称得2分，中级职称得1分，没有职称不得分，最高得2分； 2．项目负责人具有担任2022年1月1日至今（以合同签订时间为准）结算审核或审计项目的业绩，每提供一份得2分，最高得4分。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项目组成员（不包括项目负责人）人数不少于2人，所有人员需具备一级注册造价师资格，满足基本要求的得3分；每增加一名国家注册一级造价工程师加1 分，最高得2分。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供应商提供2021年1月1日至今（以签订的合同日期件加盖公章为准）结算审核或审计项目业绩合同证明材料（合同复印件加盖公章），每提供一个业绩合同证明材料得2分，最高10分。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