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版本号：XMZB-202502520250818001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西安市鄠邑区2025年“在地”伴随规划技术团队项目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XMZB-2025025</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西安市鄠邑区2025年“在地”伴随规划技术团队项目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XMZB-2025025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西安市鄠邑区2025年“在地”伴随规划技术团队项目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西安市自然资源和规划局鄠邑分局西安市鄠邑区2025年“在地”伴随规划技术团队项目。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5、资质证书：投标人须具备城乡规划编制乙级及以上资质。供应商需在项目电子化交易系统中按要求上传相应证明文件并进行电子签章。</w:t>
      </w:r>
    </w:p>
    <w:p>
      <w:pPr>
        <w:pStyle w:val="null3"/>
      </w:pPr>
      <w:r>
        <w:rPr>
          <w:rFonts w:ascii="仿宋_GB2312" w:hAnsi="仿宋_GB2312" w:cs="仿宋_GB2312" w:eastAsia="仿宋_GB2312"/>
        </w:rPr>
        <w:t>6、项目负责人：拟派项目负责人须具备注册城乡规划师证书，且在本单位注册。供应商需在项目电子化交易系统中按要求上传相应证明文件并进行电子签章。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9、授权书被授权人身份证：法定代表人直接参加投标的，须出具法定代表人身份证；法定代表人授权代表参加投标的，须出具法定代表人授权书及授权代表身份证。</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12、是否接受联合体投标：本合同包接受联合体投标。供应商需在项目电子化交易系统中按要求上传相应证明文件并进行电子签章。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南环中路3号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029-84812969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电子三路西京国际电气中心A座906室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15249226830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采购包1：5,793,400.00元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和改革委员会办公厅颁发的《关于招标代理服务收费有关问题的通知》（发改办价格〔2003〕857号）文件计取。 名 称：陕西雄迈工程项目管理有限公司 开 户 行：中国民生银行股份有限公司西安太白路支行 账 号：6323 3691 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按照招标文件及成交供应商投标响应文件进行履约验收。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联系人：拓工</w:t>
      </w:r>
    </w:p>
    <w:p>
      <w:pPr>
        <w:pStyle w:val="null3"/>
      </w:pPr>
      <w:r>
        <w:rPr>
          <w:rFonts w:ascii="仿宋_GB2312" w:hAnsi="仿宋_GB2312" w:cs="仿宋_GB2312" w:eastAsia="仿宋_GB2312"/>
        </w:rPr>
        <w:t>联系电话：15249226830</w:t>
      </w:r>
    </w:p>
    <w:p>
      <w:pPr>
        <w:pStyle w:val="null3"/>
      </w:pPr>
      <w:r>
        <w:rPr>
          <w:rFonts w:ascii="仿宋_GB2312" w:hAnsi="仿宋_GB2312" w:cs="仿宋_GB2312" w:eastAsia="仿宋_GB2312"/>
        </w:rPr>
        <w:t>地址：电子三路西京国际电气中心A座906室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西安市自然资源和规划局鄠邑分局西安市鄠邑区2025年“在地”伴随规划技术团队项目，详见招标文件。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5,793,400.00</w:t>
      </w:r>
    </w:p>
    <w:p>
      <w:pPr>
        <w:pStyle w:val="null3"/>
      </w:pPr>
      <w:r>
        <w:rPr>
          <w:rFonts w:ascii="仿宋_GB2312" w:hAnsi="仿宋_GB2312" w:cs="仿宋_GB2312" w:eastAsia="仿宋_GB2312"/>
        </w:rPr>
        <w:t>采购包最高限价（元）: 5,793,400.00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西安市鄠邑区2025年“在地”伴随规划技术团队项目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5,793,400.00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标的名称：西安市鄠邑区2025年“在地”伴随规划技术团队项目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center"/>
            </w:pPr>
            <w:r>
              <w:rPr>
                <w:rFonts w:ascii="仿宋_GB2312" w:hAnsi="仿宋_GB2312" w:cs="仿宋_GB2312" w:eastAsia="仿宋_GB2312"/>
                <w:sz w:val="32"/>
                <w:b/>
              </w:rPr>
              <w:t>采购内容</w:t>
            </w:r>
          </w:p>
          <w:p>
            <w:pPr>
              <w:pStyle w:val="null3"/>
              <w:ind w:firstLine="560"/>
              <w:jc w:val="both"/>
            </w:pPr>
            <w:r>
              <w:rPr>
                <w:rFonts w:ascii="仿宋_GB2312" w:hAnsi="仿宋_GB2312" w:cs="仿宋_GB2312" w:eastAsia="仿宋_GB2312"/>
                <w:sz w:val="28"/>
              </w:rPr>
              <w:t>1、技术服务类</w:t>
            </w:r>
          </w:p>
          <w:p>
            <w:pPr>
              <w:pStyle w:val="null3"/>
              <w:ind w:firstLine="560"/>
              <w:jc w:val="both"/>
            </w:pPr>
            <w:r>
              <w:rPr>
                <w:rFonts w:ascii="仿宋_GB2312" w:hAnsi="仿宋_GB2312" w:cs="仿宋_GB2312" w:eastAsia="仿宋_GB2312"/>
                <w:sz w:val="28"/>
              </w:rPr>
              <w:t>在低效用地梳理及再利用专题研究、土地潜力评估数据库建设与应用研究、重点片区项目研究策划、规划设计咨询、全域土地综合整治潜力研究、余下天桥片区城乡融合现状研究、42个联村规划编制、</w:t>
            </w:r>
            <w:r>
              <w:rPr>
                <w:rFonts w:ascii="仿宋_GB2312" w:hAnsi="仿宋_GB2312" w:cs="仿宋_GB2312" w:eastAsia="仿宋_GB2312"/>
                <w:sz w:val="28"/>
              </w:rPr>
              <w:t>“一村一策”用地方案优化调整等技术服务工作。结合省、市、区重点项目建设及相关要求，在重点单元、重点片区、重要项目组建规划联盟，为鄠邑区土地利用、城镇建设等方面提供技术支撑。</w:t>
            </w:r>
          </w:p>
          <w:p>
            <w:pPr>
              <w:pStyle w:val="null3"/>
              <w:ind w:firstLine="560"/>
              <w:jc w:val="both"/>
            </w:pPr>
            <w:r>
              <w:rPr>
                <w:rFonts w:ascii="仿宋_GB2312" w:hAnsi="仿宋_GB2312" w:cs="仿宋_GB2312" w:eastAsia="仿宋_GB2312"/>
                <w:sz w:val="28"/>
              </w:rPr>
              <w:t>2、协助智库建设</w:t>
            </w:r>
          </w:p>
          <w:p>
            <w:pPr>
              <w:pStyle w:val="null3"/>
              <w:ind w:firstLine="560"/>
              <w:jc w:val="both"/>
            </w:pPr>
            <w:r>
              <w:rPr>
                <w:rFonts w:ascii="仿宋_GB2312" w:hAnsi="仿宋_GB2312" w:cs="仿宋_GB2312" w:eastAsia="仿宋_GB2312"/>
                <w:sz w:val="28"/>
              </w:rPr>
              <w:t>智慧平台搭建及咨询服务将伴随式服务规划的各项数据进行整合，为鄠邑区规划管理工作提供高质量的审批和相关工作服务。协助区政府组建规划智库，结合鄠邑区的建设实际情况与发展问题，参与社会经济分析、政策分析、规划体检、规划评估等工作。</w:t>
            </w:r>
          </w:p>
          <w:p>
            <w:pPr>
              <w:pStyle w:val="null3"/>
              <w:ind w:firstLine="560"/>
              <w:jc w:val="both"/>
            </w:pPr>
            <w:r>
              <w:rPr>
                <w:rFonts w:ascii="仿宋_GB2312" w:hAnsi="仿宋_GB2312" w:cs="仿宋_GB2312" w:eastAsia="仿宋_GB2312"/>
                <w:sz w:val="28"/>
              </w:rPr>
              <w:t>3、日常事务工作</w:t>
            </w:r>
          </w:p>
          <w:p>
            <w:pPr>
              <w:pStyle w:val="null3"/>
              <w:ind w:firstLine="560"/>
              <w:jc w:val="both"/>
            </w:pPr>
            <w:r>
              <w:rPr>
                <w:rFonts w:ascii="仿宋_GB2312" w:hAnsi="仿宋_GB2312" w:cs="仿宋_GB2312" w:eastAsia="仿宋_GB2312"/>
                <w:sz w:val="28"/>
              </w:rPr>
              <w:t>为鄠邑区提供驻地规划技术支撑，为项目前期初审、项目前期策划、政策分析与研讨；项目中期技术咨询与答疑，协助开展技术审查、上报等；开展对规划重大修改、一般修改及优化项目推进与实施提供技术指导。在鄠邑区开展省、市级规划宣讲、政策解读、技术培训等工作，助力市、区级、经济功能区政策落实与项目落地等。深入协助驻地规划工作，精准研判现状问题、规划问题，形成驻地化技术支持与服务工作。</w:t>
            </w:r>
          </w:p>
          <w:p>
            <w:pPr>
              <w:pStyle w:val="null3"/>
              <w:ind w:firstLine="560"/>
              <w:jc w:val="both"/>
            </w:pPr>
            <w:r>
              <w:rPr>
                <w:rFonts w:ascii="仿宋_GB2312" w:hAnsi="仿宋_GB2312" w:cs="仿宋_GB2312" w:eastAsia="仿宋_GB2312"/>
                <w:sz w:val="28"/>
              </w:rPr>
              <w:t>鄠邑区伴随服务图纸及汇报材料制作，包括土地、规划、交通等相关专业。</w:t>
            </w:r>
          </w:p>
          <w:p>
            <w:pPr>
              <w:pStyle w:val="null3"/>
              <w:ind w:firstLine="560"/>
              <w:jc w:val="both"/>
            </w:pPr>
            <w:r>
              <w:rPr>
                <w:rFonts w:ascii="仿宋_GB2312" w:hAnsi="仿宋_GB2312" w:cs="仿宋_GB2312" w:eastAsia="仿宋_GB2312"/>
                <w:sz w:val="28"/>
              </w:rPr>
              <w:t>5、成果技术审查</w:t>
            </w:r>
          </w:p>
          <w:p>
            <w:pPr>
              <w:pStyle w:val="null3"/>
              <w:ind w:firstLine="560"/>
              <w:jc w:val="both"/>
            </w:pPr>
            <w:r>
              <w:rPr>
                <w:rFonts w:ascii="仿宋_GB2312" w:hAnsi="仿宋_GB2312" w:cs="仿宋_GB2312" w:eastAsia="仿宋_GB2312"/>
                <w:sz w:val="28"/>
              </w:rPr>
              <w:t>包括详细规划技术审查、专项规划技术审查、78个村庄规划质量评估、18个保回迁村庄技术审查工作。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6"/>
                <w:b/>
              </w:rPr>
              <w:t>商务要求：</w:t>
            </w:r>
          </w:p>
          <w:p>
            <w:pPr>
              <w:pStyle w:val="null3"/>
              <w:ind w:firstLine="560"/>
              <w:jc w:val="both"/>
            </w:pPr>
            <w:r>
              <w:rPr>
                <w:rFonts w:ascii="仿宋_GB2312" w:hAnsi="仿宋_GB2312" w:cs="仿宋_GB2312" w:eastAsia="仿宋_GB2312"/>
                <w:sz w:val="28"/>
              </w:rPr>
              <w:t>1、服务期：自合同签订之日起120天。</w:t>
            </w:r>
          </w:p>
          <w:p>
            <w:pPr>
              <w:pStyle w:val="null3"/>
              <w:ind w:firstLine="560"/>
              <w:jc w:val="both"/>
            </w:pPr>
            <w:r>
              <w:rPr>
                <w:rFonts w:ascii="仿宋_GB2312" w:hAnsi="仿宋_GB2312" w:cs="仿宋_GB2312" w:eastAsia="仿宋_GB2312"/>
                <w:sz w:val="28"/>
              </w:rPr>
              <w:t>2、服务地点：采购人指定地点</w:t>
            </w:r>
          </w:p>
          <w:p>
            <w:pPr>
              <w:pStyle w:val="null3"/>
              <w:ind w:firstLine="560"/>
              <w:jc w:val="both"/>
            </w:pPr>
            <w:r>
              <w:rPr>
                <w:rFonts w:ascii="仿宋_GB2312" w:hAnsi="仿宋_GB2312" w:cs="仿宋_GB2312" w:eastAsia="仿宋_GB2312"/>
                <w:sz w:val="28"/>
              </w:rPr>
              <w:t>3、付款方式：合同签订后，达到付款条件起30日内，支付合同总金额的50%；项目验收合格后，达到付款条件起30日内，支付合同总金额的50%。</w:t>
            </w:r>
          </w:p>
          <w:p>
            <w:pPr>
              <w:pStyle w:val="null3"/>
              <w:ind w:firstLine="560"/>
              <w:jc w:val="both"/>
            </w:pPr>
            <w:r>
              <w:rPr>
                <w:rFonts w:ascii="仿宋_GB2312" w:hAnsi="仿宋_GB2312" w:cs="仿宋_GB2312" w:eastAsia="仿宋_GB2312"/>
                <w:sz w:val="28"/>
              </w:rPr>
              <w:t>4、服务质量：达到国家现行的标准或国家行政部门颁布的法律法规、规章制度等。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供应商资格证明文件.docx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投标人须具备城乡规划编制乙级及以上资质。供应商需在项目电子化交易系统中按要求上传相应证明文件并进行电子签章。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拟派项目负责人须具备注册城乡规划师证书，且在本单位注册。供应商需在项目电子化交易系统中按要求上传相应证明文件并进行电子签章。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法定代表人直接参加投标的，须出具法定代表人身份证；法定代表人授权代表参加投标的，须出具法定代表人授权书及授权代表身份证。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（1）投标响应文件封面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投标响应文件组成</w:t>
            </w:r>
          </w:p>
        </w:tc>
        <w:tc>
          <w:tcPr>
            <w:tcW w:type="dxa" w:w="3322"/>
          </w:tcPr>
          <w:p>
            <w:pPr>
              <w:pStyle w:val="null3"/>
            </w:pPr>
            <w:r>
              <w:rPr>
                <w:rFonts w:ascii="仿宋_GB2312" w:hAnsi="仿宋_GB2312" w:cs="仿宋_GB2312" w:eastAsia="仿宋_GB2312"/>
              </w:rPr>
              <w:t>投标响应文件应包含投标文件要求的所有内容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签章或盖章符合投标文件要求，且无遗漏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供应商资格证明文件.docx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符合投标文件的要求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符合投标文件的要求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（1）货币单位符合投标文件要求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完全响应投标文件要求的各项技术（服务）、商务实质性条款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完全理解并响应投标文件合同条款的要求，且未含有采购人不能接受的附加条件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完全理解并接受法律法规和投标文件对供应商合法经营的各类规约和责任义务要求，没有出现法律法规或投标文件规定的其他无效情形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投标人应提交的相关资格证明材料 投标函 供应商认为有必要补充说明的事项.docx 残疾人福利性单位声明函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①质量保证措施；②进度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承诺；②其他有利于本项目实施的承诺。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经资格审查、符合性审查合格的响应文件，其投标报价为有效投标报价，对符合政策性扣减的供应商的有效投标价格进行政策性扣减，并依据扣减后的价格（评审价格）进行价格评审。 评标基准价：即满足采购文件要求且报价最低的供应商价格为评标基准价，其价格为满分10分。 各供应商的报价得分按下列公式计算： （评标基准价/投标报价）×10%×100分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