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版本号：XBZB-2025-09920250820001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建设工程设计方案技术审查项目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XBZB-2025-099</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建设工程设计方案技术审查项目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建设工程设计方案技术审查项目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西安市自然资源和规划局鄠邑分局建设工程设计方案技术审查项目，具体详见竞争性磋商文件。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5、资质证书：供应商须具备城乡规划编制乙级及以上资质。供应商需在项目电子化交易系统中按要求上传相应证明文件并进行电子签章。</w:t>
      </w:r>
    </w:p>
    <w:p>
      <w:pPr>
        <w:pStyle w:val="null3"/>
      </w:pPr>
      <w:r>
        <w:rPr>
          <w:rFonts w:ascii="仿宋_GB2312" w:hAnsi="仿宋_GB2312" w:cs="仿宋_GB2312" w:eastAsia="仿宋_GB2312"/>
        </w:rPr>
        <w:t>6、项目负责人：拟派项目负责人须具备注册城乡规划师证书。供应商需在项目电子化交易系统中按要求上传相应证明文件并进行电子签章。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9、授权书被授权人身份证：法定代表人直接参加投标的，须出具法定代表人身份证；法定代表人授权代表参加投标的，须出具法定代表人授权书及授权代表身份证。</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12、是否接受联合体投标：本项目不接受联合体投标（提供非联合体声明函）。供应商需在项目电子化交易系统中按要求上传相应证明文件并进行电子签章。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南环中路3号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西安市自然资源和规划局鄠邑分局经办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029-89019439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18192190973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和改革委员会办公厅颁发的《关于招标代理服务收费有关问题的通知》（发改办价格〔2003〕857号）文件计取。 户名：西北国际（陕西）造价管理集团有限公司 开户行：招商银行股份有限公司西安雁塔路支行 账号：129912898210301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联系电话：18192190973</w:t>
      </w:r>
    </w:p>
    <w:p>
      <w:pPr>
        <w:pStyle w:val="null3"/>
      </w:pPr>
      <w:r>
        <w:rPr>
          <w:rFonts w:ascii="仿宋_GB2312" w:hAnsi="仿宋_GB2312" w:cs="仿宋_GB2312" w:eastAsia="仿宋_GB2312"/>
        </w:rPr>
        <w:t>地址：陕西省西安市碑林区长安国际中心F座办公楼1702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西安市自然资源和规划局鄠邑分局建设工程设计方案技术审查项目，详见竞争性磋商文件。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719,000.00</w:t>
      </w:r>
    </w:p>
    <w:p>
      <w:pPr>
        <w:pStyle w:val="null3"/>
      </w:pPr>
      <w:r>
        <w:rPr>
          <w:rFonts w:ascii="仿宋_GB2312" w:hAnsi="仿宋_GB2312" w:cs="仿宋_GB2312" w:eastAsia="仿宋_GB2312"/>
        </w:rPr>
        <w:t>采购包最高限价（元）: 719,000.00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建设工程设计方案技术审查项目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标的名称：建设工程设计方案技术审查项目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48"/>
                <w:b/>
              </w:rPr>
              <w:t>采购内容</w:t>
            </w:r>
          </w:p>
          <w:p>
            <w:pPr>
              <w:pStyle w:val="null3"/>
              <w:outlineLvl w:val="0"/>
            </w:pPr>
            <w:r>
              <w:rPr>
                <w:rFonts w:ascii="仿宋_GB2312" w:hAnsi="仿宋_GB2312" w:cs="仿宋_GB2312" w:eastAsia="仿宋_GB2312"/>
                <w:sz w:val="32"/>
                <w:b/>
              </w:rPr>
              <w:t>一、审查内容</w:t>
            </w:r>
          </w:p>
          <w:p>
            <w:pPr>
              <w:pStyle w:val="null3"/>
              <w:ind w:firstLine="560"/>
              <w:jc w:val="both"/>
            </w:pPr>
            <w:r>
              <w:rPr>
                <w:rFonts w:ascii="仿宋_GB2312" w:hAnsi="仿宋_GB2312" w:cs="仿宋_GB2312" w:eastAsia="仿宋_GB2312"/>
                <w:sz w:val="28"/>
                <w:b/>
              </w:rPr>
              <w:t>1、</w:t>
            </w:r>
            <w:r>
              <w:rPr>
                <w:rFonts w:ascii="仿宋_GB2312" w:hAnsi="仿宋_GB2312" w:cs="仿宋_GB2312" w:eastAsia="仿宋_GB2312"/>
                <w:sz w:val="28"/>
                <w:b/>
              </w:rPr>
              <w:t>控制性指标</w:t>
            </w:r>
          </w:p>
          <w:p>
            <w:pPr>
              <w:pStyle w:val="null3"/>
              <w:ind w:firstLine="560"/>
              <w:jc w:val="both"/>
            </w:pPr>
            <w:r>
              <w:rPr>
                <w:rFonts w:ascii="仿宋_GB2312" w:hAnsi="仿宋_GB2312" w:cs="仿宋_GB2312" w:eastAsia="仿宋_GB2312"/>
                <w:sz w:val="28"/>
              </w:rPr>
              <w:t>用地范围与总平面图四址是否一致</w:t>
            </w:r>
          </w:p>
          <w:p>
            <w:pPr>
              <w:pStyle w:val="null3"/>
              <w:ind w:firstLine="560"/>
              <w:jc w:val="both"/>
            </w:pPr>
            <w:r>
              <w:rPr>
                <w:rFonts w:ascii="仿宋_GB2312" w:hAnsi="仿宋_GB2312" w:cs="仿宋_GB2312" w:eastAsia="仿宋_GB2312"/>
                <w:sz w:val="28"/>
              </w:rPr>
              <w:t>用地性质</w:t>
            </w:r>
          </w:p>
          <w:p>
            <w:pPr>
              <w:pStyle w:val="null3"/>
              <w:ind w:firstLine="560"/>
              <w:jc w:val="both"/>
            </w:pPr>
            <w:r>
              <w:rPr>
                <w:rFonts w:ascii="仿宋_GB2312" w:hAnsi="仿宋_GB2312" w:cs="仿宋_GB2312" w:eastAsia="仿宋_GB2312"/>
                <w:sz w:val="28"/>
              </w:rPr>
              <w:t>建筑性质是否与用地性质相匹配</w:t>
            </w:r>
          </w:p>
          <w:p>
            <w:pPr>
              <w:pStyle w:val="null3"/>
              <w:ind w:firstLine="560"/>
              <w:jc w:val="both"/>
            </w:pPr>
            <w:r>
              <w:rPr>
                <w:rFonts w:ascii="仿宋_GB2312" w:hAnsi="仿宋_GB2312" w:cs="仿宋_GB2312" w:eastAsia="仿宋_GB2312"/>
                <w:sz w:val="28"/>
              </w:rPr>
              <w:t>容积率是否满足规划条件及现行规范要求</w:t>
            </w:r>
          </w:p>
          <w:p>
            <w:pPr>
              <w:pStyle w:val="null3"/>
              <w:ind w:firstLine="560"/>
              <w:jc w:val="both"/>
            </w:pPr>
            <w:r>
              <w:rPr>
                <w:rFonts w:ascii="仿宋_GB2312" w:hAnsi="仿宋_GB2312" w:cs="仿宋_GB2312" w:eastAsia="仿宋_GB2312"/>
                <w:sz w:val="28"/>
              </w:rPr>
              <w:t>绿地率是否满足规划条件及现行规范要求</w:t>
            </w:r>
          </w:p>
          <w:p>
            <w:pPr>
              <w:pStyle w:val="null3"/>
              <w:ind w:firstLine="560"/>
              <w:jc w:val="both"/>
            </w:pPr>
            <w:r>
              <w:rPr>
                <w:rFonts w:ascii="仿宋_GB2312" w:hAnsi="仿宋_GB2312" w:cs="仿宋_GB2312" w:eastAsia="仿宋_GB2312"/>
                <w:sz w:val="28"/>
              </w:rPr>
              <w:t>建筑高度是否满足净空标准要求</w:t>
            </w:r>
          </w:p>
          <w:p>
            <w:pPr>
              <w:pStyle w:val="null3"/>
              <w:ind w:firstLine="560"/>
              <w:jc w:val="both"/>
            </w:pPr>
            <w:r>
              <w:rPr>
                <w:rFonts w:ascii="仿宋_GB2312" w:hAnsi="仿宋_GB2312" w:cs="仿宋_GB2312" w:eastAsia="仿宋_GB2312"/>
                <w:sz w:val="28"/>
              </w:rPr>
              <w:t>建筑面积、计容面积、不计容面积、基底面积</w:t>
            </w:r>
          </w:p>
          <w:p>
            <w:pPr>
              <w:pStyle w:val="null3"/>
              <w:ind w:firstLine="560"/>
              <w:jc w:val="both"/>
            </w:pPr>
            <w:r>
              <w:rPr>
                <w:rFonts w:ascii="仿宋_GB2312" w:hAnsi="仿宋_GB2312" w:cs="仿宋_GB2312" w:eastAsia="仿宋_GB2312"/>
                <w:sz w:val="28"/>
              </w:rPr>
              <w:t>建筑密度是否满足规划条件要求</w:t>
            </w:r>
          </w:p>
          <w:p>
            <w:pPr>
              <w:pStyle w:val="null3"/>
              <w:ind w:firstLine="560"/>
              <w:jc w:val="both"/>
            </w:pPr>
            <w:r>
              <w:rPr>
                <w:rFonts w:ascii="仿宋_GB2312" w:hAnsi="仿宋_GB2312" w:cs="仿宋_GB2312" w:eastAsia="仿宋_GB2312"/>
                <w:sz w:val="28"/>
              </w:rPr>
              <w:t>建筑退道路红线、退城市绿线、退用地界、建筑与周边建筑的间距、地下室退道路红线，退用地界是否满足《西安市城乡管理技术规定》</w:t>
            </w:r>
          </w:p>
          <w:p>
            <w:pPr>
              <w:pStyle w:val="null3"/>
              <w:ind w:firstLine="560"/>
              <w:jc w:val="both"/>
            </w:pPr>
            <w:r>
              <w:rPr>
                <w:rFonts w:ascii="仿宋_GB2312" w:hAnsi="仿宋_GB2312" w:cs="仿宋_GB2312" w:eastAsia="仿宋_GB2312"/>
                <w:sz w:val="28"/>
              </w:rPr>
              <w:t>出入口道路宽度、转弯半径、出入口位置是否满足规定。</w:t>
            </w:r>
          </w:p>
          <w:p>
            <w:pPr>
              <w:pStyle w:val="null3"/>
              <w:ind w:firstLine="560"/>
              <w:jc w:val="both"/>
            </w:pPr>
            <w:r>
              <w:rPr>
                <w:rFonts w:ascii="仿宋_GB2312" w:hAnsi="仿宋_GB2312" w:cs="仿宋_GB2312" w:eastAsia="仿宋_GB2312"/>
                <w:sz w:val="28"/>
              </w:rPr>
              <w:t>停车位个数及尺寸（地上停车、地下停车、装卸车位、地面停车率、机械停车率）</w:t>
            </w:r>
          </w:p>
          <w:p>
            <w:pPr>
              <w:pStyle w:val="null3"/>
              <w:ind w:firstLine="560"/>
              <w:jc w:val="both"/>
            </w:pPr>
            <w:r>
              <w:rPr>
                <w:rFonts w:ascii="仿宋_GB2312" w:hAnsi="仿宋_GB2312" w:cs="仿宋_GB2312" w:eastAsia="仿宋_GB2312"/>
                <w:sz w:val="28"/>
              </w:rPr>
              <w:t>非机动车停车位个数及尺寸</w:t>
            </w:r>
          </w:p>
          <w:p>
            <w:pPr>
              <w:pStyle w:val="null3"/>
              <w:ind w:firstLine="560"/>
              <w:jc w:val="both"/>
            </w:pPr>
            <w:r>
              <w:rPr>
                <w:rFonts w:ascii="仿宋_GB2312" w:hAnsi="仿宋_GB2312" w:cs="仿宋_GB2312" w:eastAsia="仿宋_GB2312"/>
                <w:sz w:val="28"/>
              </w:rPr>
              <w:t>非机动车充电车位个数及尺寸</w:t>
            </w:r>
          </w:p>
          <w:p>
            <w:pPr>
              <w:pStyle w:val="null3"/>
              <w:ind w:firstLine="560"/>
              <w:jc w:val="both"/>
            </w:pPr>
            <w:r>
              <w:rPr>
                <w:rFonts w:ascii="仿宋_GB2312" w:hAnsi="仿宋_GB2312" w:cs="仿宋_GB2312" w:eastAsia="仿宋_GB2312"/>
                <w:sz w:val="28"/>
              </w:rPr>
              <w:t>配套设置占地＜</w:t>
            </w:r>
            <w:r>
              <w:rPr>
                <w:rFonts w:ascii="仿宋_GB2312" w:hAnsi="仿宋_GB2312" w:cs="仿宋_GB2312" w:eastAsia="仿宋_GB2312"/>
                <w:sz w:val="28"/>
              </w:rPr>
              <w:t>7%</w:t>
            </w:r>
          </w:p>
          <w:p>
            <w:pPr>
              <w:pStyle w:val="null3"/>
              <w:ind w:firstLine="560"/>
              <w:jc w:val="both"/>
            </w:pPr>
            <w:r>
              <w:rPr>
                <w:rFonts w:ascii="仿宋_GB2312" w:hAnsi="仿宋_GB2312" w:cs="仿宋_GB2312" w:eastAsia="仿宋_GB2312"/>
                <w:sz w:val="28"/>
              </w:rPr>
              <w:t>配套建筑面积占总建筑面积＜</w:t>
            </w:r>
            <w:r>
              <w:rPr>
                <w:rFonts w:ascii="仿宋_GB2312" w:hAnsi="仿宋_GB2312" w:cs="仿宋_GB2312" w:eastAsia="仿宋_GB2312"/>
                <w:sz w:val="28"/>
              </w:rPr>
              <w:t>15%</w:t>
            </w:r>
          </w:p>
          <w:p>
            <w:pPr>
              <w:pStyle w:val="null3"/>
              <w:ind w:firstLine="560"/>
              <w:jc w:val="both"/>
            </w:pPr>
            <w:r>
              <w:rPr>
                <w:rFonts w:ascii="仿宋_GB2312" w:hAnsi="仿宋_GB2312" w:cs="仿宋_GB2312" w:eastAsia="仿宋_GB2312"/>
                <w:sz w:val="28"/>
              </w:rPr>
              <w:t>内部交通组织与外部交通衔接</w:t>
            </w:r>
          </w:p>
          <w:p>
            <w:pPr>
              <w:pStyle w:val="null3"/>
              <w:ind w:firstLine="560"/>
              <w:jc w:val="both"/>
            </w:pPr>
            <w:r>
              <w:rPr>
                <w:rFonts w:ascii="仿宋_GB2312" w:hAnsi="仿宋_GB2312" w:cs="仿宋_GB2312" w:eastAsia="仿宋_GB2312"/>
                <w:sz w:val="28"/>
              </w:rPr>
              <w:t>场地内管线与建筑间距</w:t>
            </w:r>
          </w:p>
          <w:p>
            <w:pPr>
              <w:pStyle w:val="null3"/>
              <w:ind w:firstLine="560"/>
              <w:jc w:val="both"/>
            </w:pPr>
            <w:r>
              <w:rPr>
                <w:rFonts w:ascii="仿宋_GB2312" w:hAnsi="仿宋_GB2312" w:cs="仿宋_GB2312" w:eastAsia="仿宋_GB2312"/>
                <w:sz w:val="28"/>
                <w:b/>
              </w:rPr>
              <w:t>2、</w:t>
            </w:r>
            <w:r>
              <w:rPr>
                <w:rFonts w:ascii="仿宋_GB2312" w:hAnsi="仿宋_GB2312" w:cs="仿宋_GB2312" w:eastAsia="仿宋_GB2312"/>
                <w:sz w:val="28"/>
                <w:b/>
              </w:rPr>
              <w:t>竖向设计</w:t>
            </w:r>
          </w:p>
          <w:p>
            <w:pPr>
              <w:pStyle w:val="null3"/>
              <w:ind w:firstLine="560"/>
              <w:jc w:val="both"/>
            </w:pPr>
            <w:r>
              <w:rPr>
                <w:rFonts w:ascii="仿宋_GB2312" w:hAnsi="仿宋_GB2312" w:cs="仿宋_GB2312" w:eastAsia="仿宋_GB2312"/>
                <w:sz w:val="28"/>
              </w:rPr>
              <w:t>场地标高：场地标高设计是否合理，是否满足排水要求</w:t>
            </w:r>
          </w:p>
          <w:p>
            <w:pPr>
              <w:pStyle w:val="null3"/>
              <w:ind w:firstLine="560"/>
              <w:jc w:val="both"/>
            </w:pPr>
            <w:r>
              <w:rPr>
                <w:rFonts w:ascii="仿宋_GB2312" w:hAnsi="仿宋_GB2312" w:cs="仿宋_GB2312" w:eastAsia="仿宋_GB2312"/>
                <w:sz w:val="28"/>
              </w:rPr>
              <w:t>坡度与排水：检查场地坡度、排水方向</w:t>
            </w:r>
          </w:p>
          <w:p>
            <w:pPr>
              <w:pStyle w:val="null3"/>
              <w:ind w:firstLine="560"/>
              <w:jc w:val="both"/>
            </w:pPr>
            <w:r>
              <w:rPr>
                <w:rFonts w:ascii="仿宋_GB2312" w:hAnsi="仿宋_GB2312" w:cs="仿宋_GB2312" w:eastAsia="仿宋_GB2312"/>
                <w:sz w:val="28"/>
                <w:b/>
              </w:rPr>
              <w:t>3、</w:t>
            </w:r>
            <w:r>
              <w:rPr>
                <w:rFonts w:ascii="仿宋_GB2312" w:hAnsi="仿宋_GB2312" w:cs="仿宋_GB2312" w:eastAsia="仿宋_GB2312"/>
                <w:sz w:val="28"/>
                <w:b/>
              </w:rPr>
              <w:t>制图标准</w:t>
            </w:r>
          </w:p>
          <w:p>
            <w:pPr>
              <w:pStyle w:val="null3"/>
              <w:ind w:firstLine="560"/>
              <w:jc w:val="both"/>
            </w:pPr>
            <w:r>
              <w:rPr>
                <w:rFonts w:ascii="仿宋_GB2312" w:hAnsi="仿宋_GB2312" w:cs="仿宋_GB2312" w:eastAsia="仿宋_GB2312"/>
                <w:sz w:val="28"/>
              </w:rPr>
              <w:t>图名、图例、区位图、风玫瑰图、比例尺、指北针是否齐全。</w:t>
            </w:r>
          </w:p>
          <w:p>
            <w:pPr>
              <w:pStyle w:val="null3"/>
              <w:ind w:firstLine="560"/>
              <w:jc w:val="both"/>
            </w:pPr>
            <w:r>
              <w:rPr>
                <w:rFonts w:ascii="仿宋_GB2312" w:hAnsi="仿宋_GB2312" w:cs="仿宋_GB2312" w:eastAsia="仿宋_GB2312"/>
                <w:sz w:val="28"/>
              </w:rPr>
              <w:t>核实比例尺、尺寸是否准确。</w:t>
            </w:r>
          </w:p>
          <w:p>
            <w:pPr>
              <w:pStyle w:val="null3"/>
              <w:ind w:firstLine="560"/>
              <w:jc w:val="both"/>
            </w:pPr>
            <w:r>
              <w:rPr>
                <w:rFonts w:ascii="仿宋_GB2312" w:hAnsi="仿宋_GB2312" w:cs="仿宋_GB2312" w:eastAsia="仿宋_GB2312"/>
                <w:sz w:val="28"/>
              </w:rPr>
              <w:t>单体表达：标注正负零标高、坐标点、建筑高度、消防高度、建筑外轮廓表达。</w:t>
            </w:r>
          </w:p>
          <w:p>
            <w:pPr>
              <w:pStyle w:val="null3"/>
              <w:ind w:firstLine="560"/>
              <w:jc w:val="both"/>
            </w:pPr>
            <w:r>
              <w:rPr>
                <w:rFonts w:ascii="仿宋_GB2312" w:hAnsi="仿宋_GB2312" w:cs="仿宋_GB2312" w:eastAsia="仿宋_GB2312"/>
                <w:sz w:val="28"/>
              </w:rPr>
              <w:t>单体平面布局，是否符合建筑性质</w:t>
            </w:r>
          </w:p>
          <w:p>
            <w:pPr>
              <w:pStyle w:val="null3"/>
              <w:ind w:firstLine="560"/>
              <w:jc w:val="both"/>
            </w:pPr>
            <w:r>
              <w:rPr>
                <w:rFonts w:ascii="仿宋_GB2312" w:hAnsi="仿宋_GB2312" w:cs="仿宋_GB2312" w:eastAsia="仿宋_GB2312"/>
                <w:sz w:val="28"/>
              </w:rPr>
              <w:t>单体立面，是否与平面剖面图相对应，是否与效果图一致</w:t>
            </w:r>
          </w:p>
          <w:p>
            <w:pPr>
              <w:pStyle w:val="null3"/>
              <w:ind w:firstLine="560"/>
              <w:jc w:val="both"/>
            </w:pPr>
            <w:r>
              <w:rPr>
                <w:rFonts w:ascii="仿宋_GB2312" w:hAnsi="仿宋_GB2312" w:cs="仿宋_GB2312" w:eastAsia="仿宋_GB2312"/>
                <w:sz w:val="28"/>
              </w:rPr>
              <w:t>线型与总图一致</w:t>
            </w:r>
          </w:p>
          <w:p>
            <w:pPr>
              <w:pStyle w:val="null3"/>
              <w:ind w:left="1035"/>
              <w:outlineLvl w:val="0"/>
            </w:pPr>
            <w:r>
              <w:rPr>
                <w:rFonts w:ascii="仿宋_GB2312" w:hAnsi="仿宋_GB2312" w:cs="仿宋_GB2312" w:eastAsia="仿宋_GB2312"/>
                <w:sz w:val="32"/>
                <w:b/>
              </w:rPr>
              <w:t>二、工作流程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建设单位进行设计方案技术规整。建设单位按照设计方案规整端的要求，对总平面图及单体进行规整，经分局接件后，发送</w:t>
            </w:r>
            <w:r>
              <w:rPr>
                <w:rFonts w:ascii="仿宋_GB2312" w:hAnsi="仿宋_GB2312" w:cs="仿宋_GB2312" w:eastAsia="仿宋_GB2312"/>
                <w:sz w:val="28"/>
              </w:rPr>
              <w:t>审查</w:t>
            </w:r>
            <w:r>
              <w:rPr>
                <w:rFonts w:ascii="仿宋_GB2312" w:hAnsi="仿宋_GB2312" w:cs="仿宋_GB2312" w:eastAsia="仿宋_GB2312"/>
                <w:sz w:val="28"/>
              </w:rPr>
              <w:t>经办人员。</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技术审查。由</w:t>
            </w:r>
            <w:r>
              <w:rPr>
                <w:rFonts w:ascii="仿宋_GB2312" w:hAnsi="仿宋_GB2312" w:cs="仿宋_GB2312" w:eastAsia="仿宋_GB2312"/>
                <w:sz w:val="28"/>
              </w:rPr>
              <w:t>审查</w:t>
            </w:r>
            <w:r>
              <w:rPr>
                <w:rFonts w:ascii="仿宋_GB2312" w:hAnsi="仿宋_GB2312" w:cs="仿宋_GB2312" w:eastAsia="仿宋_GB2312"/>
                <w:sz w:val="28"/>
              </w:rPr>
              <w:t>经办人员按照审查要求进行进行，形成初步审查报告，反馈分局，由分局告知建设单位对总平面图及单体进行修改，修改完成后报</w:t>
            </w:r>
            <w:r>
              <w:rPr>
                <w:rFonts w:ascii="仿宋_GB2312" w:hAnsi="仿宋_GB2312" w:cs="仿宋_GB2312" w:eastAsia="仿宋_GB2312"/>
                <w:sz w:val="28"/>
              </w:rPr>
              <w:t>审查</w:t>
            </w:r>
            <w:r>
              <w:rPr>
                <w:rFonts w:ascii="仿宋_GB2312" w:hAnsi="仿宋_GB2312" w:cs="仿宋_GB2312" w:eastAsia="仿宋_GB2312"/>
                <w:sz w:val="28"/>
              </w:rPr>
              <w:t>经办人员进行技术审查。</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出具报告。技术审查报告经建设单位确认不在修改后，召开审查会进行审查，并依据会议情况出具正式的技术审查报告，交建设单位。</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outlineLvl w:val="0"/>
            </w:pPr>
            <w:r>
              <w:rPr>
                <w:rFonts w:ascii="仿宋_GB2312" w:hAnsi="仿宋_GB2312" w:cs="仿宋_GB2312" w:eastAsia="仿宋_GB2312"/>
                <w:sz w:val="48"/>
                <w:b/>
              </w:rPr>
              <w:t>商务要求</w:t>
            </w:r>
          </w:p>
          <w:p>
            <w:pPr>
              <w:pStyle w:val="null3"/>
              <w:ind w:firstLine="560"/>
              <w:jc w:val="both"/>
            </w:pPr>
            <w:r>
              <w:rPr>
                <w:rFonts w:ascii="仿宋_GB2312" w:hAnsi="仿宋_GB2312" w:cs="仿宋_GB2312" w:eastAsia="仿宋_GB2312"/>
                <w:sz w:val="28"/>
              </w:rPr>
              <w:t>1、服务期：自合同签订之日起</w:t>
            </w:r>
            <w:r>
              <w:rPr>
                <w:rFonts w:ascii="仿宋_GB2312" w:hAnsi="仿宋_GB2312" w:cs="仿宋_GB2312" w:eastAsia="仿宋_GB2312"/>
                <w:sz w:val="28"/>
              </w:rPr>
              <w:t>365日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2、服务地点：采购人指定地点</w:t>
            </w:r>
          </w:p>
          <w:p>
            <w:pPr>
              <w:pStyle w:val="null3"/>
              <w:ind w:firstLine="560"/>
              <w:jc w:val="both"/>
            </w:pPr>
            <w:r>
              <w:rPr>
                <w:rFonts w:ascii="仿宋_GB2312" w:hAnsi="仿宋_GB2312" w:cs="仿宋_GB2312" w:eastAsia="仿宋_GB2312"/>
                <w:sz w:val="28"/>
              </w:rPr>
              <w:t>3、付款方式：合同签订后，达到付款条件起30日内，支付合同总金额的50%；项目验收合格后，达到付款条件起30日内，支付合同总金额的50%。</w:t>
            </w:r>
          </w:p>
          <w:p>
            <w:pPr>
              <w:pStyle w:val="null3"/>
              <w:ind w:firstLine="560"/>
              <w:jc w:val="both"/>
            </w:pPr>
            <w:r>
              <w:rPr>
                <w:rFonts w:ascii="仿宋_GB2312" w:hAnsi="仿宋_GB2312" w:cs="仿宋_GB2312" w:eastAsia="仿宋_GB2312"/>
                <w:sz w:val="28"/>
              </w:rPr>
              <w:t>4、服务质量：达到国家现行的标准或国家行政部门颁布的法律法规、规章制度等。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或2024年的财务审计报告（成立时间至提交投标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供应商须具备城乡规划编制乙级及以上资质。供应商需在项目电子化交易系统中按要求上传相应证明文件并进行电子签章。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拟派项目负责人须具备注册城乡规划师证书。供应商需在项目电子化交易系统中按要求上传相应证明文件并进行电子签章。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法定代表人直接参加投标的，须出具法定代表人身份证；法定代表人授权代表参加投标的，须出具法定代表人授权书及授权代表身份证。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③档案管理制度。评审依据：每一项内容描述详细，切实可行符合项目实际内容得4.0分，①～③项合计得12分。内容①～②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评审内容：①服务承诺；②保密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服务保证及风险控制</w:t>
            </w:r>
          </w:p>
        </w:tc>
        <w:tc>
          <w:tcPr>
            <w:tcW w:type="dxa" w:w="2492"/>
          </w:tcPr>
          <w:p>
            <w:pPr>
              <w:pStyle w:val="null3"/>
            </w:pPr>
            <w:r>
              <w:rPr>
                <w:rFonts w:ascii="仿宋_GB2312" w:hAnsi="仿宋_GB2312" w:cs="仿宋_GB2312" w:eastAsia="仿宋_GB2312"/>
              </w:rPr>
              <w:t>评审内容：①质量保证措施；②风险控制措施。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2、对符合政策性扣减的供应商的有效投标价格进行政策性扣减，并依据扣减后的价格（评审价格）进行价格评审。 3.磋商报价得分=（磋商基准价/最后磋商报价）×价格权值×100的公式计算得分。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商务应答表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