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版本号：YYZB-2025-01420250815001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柳泉口六艺斋农文旅产品线上销售项目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YYZB-2025-014</w:t>
      </w:r>
      <w:r>
        <w:br/>
      </w:r>
      <w:r>
        <w:br/>
      </w:r>
      <w:r>
        <w:br/>
      </w:r>
    </w:p>
    <w:p>
      <w:pPr>
        <w:pStyle w:val="null3"/>
        <w:jc w:val="center"/>
        <w:outlineLvl w:val="2"/>
      </w:pPr>
      <w:r>
        <w:rPr>
          <w:rFonts w:ascii="仿宋_GB2312" w:hAnsi="仿宋_GB2312" w:cs="仿宋_GB2312" w:eastAsia="仿宋_GB2312"/>
          <w:sz w:val="28"/>
          <w:b/>
        </w:rPr>
        <w:t>西安市鄠邑区文化和旅游体育局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西安市鄠邑区文化和旅游体育局</w:t>
      </w:r>
      <w:r>
        <w:rPr>
          <w:rFonts w:ascii="仿宋_GB2312" w:hAnsi="仿宋_GB2312" w:cs="仿宋_GB2312" w:eastAsia="仿宋_GB2312"/>
        </w:rPr>
        <w:t>委托，拟对</w:t>
      </w:r>
      <w:r>
        <w:rPr>
          <w:rFonts w:ascii="仿宋_GB2312" w:hAnsi="仿宋_GB2312" w:cs="仿宋_GB2312" w:eastAsia="仿宋_GB2312"/>
        </w:rPr>
        <w:t>柳泉口六艺斋农文旅产品线上销售项目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YYZB-2025-014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柳泉口六艺斋农文旅产品线上销售项目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对村民闲置房屋（现状三间两层，建面约200㎡）进行改造、翻新、配套基础设施安装，包括：房屋加固、水电路改造、基础装修、线上销售设备购置等。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采购包1（柳泉口六艺斋农文旅产品线上销售项目）：属于专门面向中小企业采购。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1、资质证书：投标人须具备建筑工程施工总承包三级及以上资质，并具备有效的安全生产许可证</w:t>
      </w:r>
    </w:p>
    <w:p>
      <w:pPr>
        <w:pStyle w:val="null3"/>
      </w:pPr>
      <w:r>
        <w:rPr>
          <w:rFonts w:ascii="仿宋_GB2312" w:hAnsi="仿宋_GB2312" w:cs="仿宋_GB2312" w:eastAsia="仿宋_GB2312"/>
        </w:rPr>
        <w:t>2、法定代表人(主要负责人)委托授权书/身份证明：须提供法定代表人授权书(法定代表人或负责人直接投标，须提交法定代表人证明书）</w:t>
      </w:r>
    </w:p>
    <w:p>
      <w:pPr>
        <w:pStyle w:val="null3"/>
      </w:pPr>
      <w:r>
        <w:rPr>
          <w:rFonts w:ascii="仿宋_GB2312" w:hAnsi="仿宋_GB2312" w:cs="仿宋_GB2312" w:eastAsia="仿宋_GB2312"/>
        </w:rPr>
        <w:t>3、拟派项目经理资质和专业要求：拟派项目经理须具备建筑工程专业二级及以上注册建造师资格，并具备安全生产考核合格证书，项目经理需提供本单位社保缴纳证明，且未担任其他在建设工程项目的项目经理</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029-89027063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[2002]1980号）和国家发展改革委员会办公厅颁发的《关于招标代理服务收费有关问题的通知》（发改办价格[2003]857号）的有关规定执行。 中标单位在领取中标通知书前，须向采购代理机构一次性支付。代理费缴存账户： 开户名称：耀阳项目管理（陕西）有限公司 开户银行：招商银行西安高新技术产业开发区支行 账 号：129909799810902（备注：项目名称+代理服务费）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西安市鄠邑区文化和旅游体育局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联系电话：02981325677</w:t>
      </w:r>
    </w:p>
    <w:p>
      <w:pPr>
        <w:pStyle w:val="null3"/>
      </w:pPr>
      <w:r>
        <w:rPr>
          <w:rFonts w:ascii="仿宋_GB2312" w:hAnsi="仿宋_GB2312" w:cs="仿宋_GB2312" w:eastAsia="仿宋_GB2312"/>
        </w:rPr>
        <w:t>地址：陕西省西安市雁塔区科技六路高新时代广场B座706</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383,613.59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柳泉口六艺斋农文旅产品线上销售项目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标的名称：柳泉口六艺斋农文旅产品线上销售项目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（一）工程内容：主</w:t>
            </w:r>
            <w:r>
              <w:rPr>
                <w:rFonts w:ascii="仿宋_GB2312" w:hAnsi="仿宋_GB2312" w:cs="仿宋_GB2312" w:eastAsia="仿宋_GB2312"/>
                <w:sz w:val="24"/>
              </w:rPr>
              <w:t>主要用于对村民闲置房屋（现状三间两层，建面约</w:t>
            </w:r>
            <w:r>
              <w:rPr>
                <w:rFonts w:ascii="仿宋_GB2312" w:hAnsi="仿宋_GB2312" w:cs="仿宋_GB2312" w:eastAsia="仿宋_GB2312"/>
                <w:sz w:val="24"/>
              </w:rPr>
              <w:t>200㎡）进行改造、翻新、配套基础设施安装，包括：房屋加固、水电路改造、基础装修、线上销售设备购置等。</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工程地点：</w:t>
            </w:r>
            <w:r>
              <w:rPr>
                <w:rFonts w:ascii="仿宋_GB2312" w:hAnsi="仿宋_GB2312" w:cs="仿宋_GB2312" w:eastAsia="仿宋_GB2312"/>
                <w:sz w:val="24"/>
              </w:rPr>
              <w:t>鄠邑区柳泉口村</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计划工期：自进场之日起</w:t>
            </w:r>
            <w:r>
              <w:rPr>
                <w:rFonts w:ascii="仿宋_GB2312" w:hAnsi="仿宋_GB2312" w:cs="仿宋_GB2312" w:eastAsia="仿宋_GB2312"/>
                <w:sz w:val="24"/>
              </w:rPr>
              <w:t>90</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（四）缺陷责任期（与质保金的退还有关）：见</w:t>
            </w:r>
            <w:r>
              <w:rPr>
                <w:rFonts w:ascii="仿宋_GB2312" w:hAnsi="仿宋_GB2312" w:cs="仿宋_GB2312" w:eastAsia="仿宋_GB2312"/>
                <w:sz w:val="24"/>
              </w:rPr>
              <w:t>《建设工程质量保证金管理暂行办法》，一般不超过</w:t>
            </w:r>
            <w:r>
              <w:rPr>
                <w:rFonts w:ascii="仿宋_GB2312" w:hAnsi="仿宋_GB2312" w:cs="仿宋_GB2312" w:eastAsia="仿宋_GB2312"/>
                <w:sz w:val="24"/>
              </w:rPr>
              <w:t>2年。</w:t>
            </w:r>
          </w:p>
          <w:p>
            <w:pPr>
              <w:pStyle w:val="null3"/>
              <w:ind w:firstLine="480"/>
            </w:pPr>
            <w:r>
              <w:rPr>
                <w:rFonts w:ascii="仿宋_GB2312" w:hAnsi="仿宋_GB2312" w:cs="仿宋_GB2312" w:eastAsia="仿宋_GB2312"/>
                <w:sz w:val="24"/>
              </w:rPr>
              <w:t>（五）</w:t>
            </w:r>
            <w:r>
              <w:rPr>
                <w:rFonts w:ascii="仿宋_GB2312" w:hAnsi="仿宋_GB2312" w:cs="仿宋_GB2312" w:eastAsia="仿宋_GB2312"/>
                <w:sz w:val="24"/>
              </w:rPr>
              <w:t>质量保修期</w:t>
            </w:r>
            <w:r>
              <w:rPr>
                <w:rFonts w:ascii="仿宋_GB2312" w:hAnsi="仿宋_GB2312" w:cs="仿宋_GB2312" w:eastAsia="仿宋_GB2312"/>
                <w:sz w:val="24"/>
              </w:rPr>
              <w:t>（与质保金的退还无关）：见</w:t>
            </w:r>
            <w:r>
              <w:rPr>
                <w:rFonts w:ascii="仿宋_GB2312" w:hAnsi="仿宋_GB2312" w:cs="仿宋_GB2312" w:eastAsia="仿宋_GB2312"/>
                <w:sz w:val="24"/>
              </w:rPr>
              <w:t>《建设工程质量管理条例》。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组织机构代码证、税务登记证或三证合一营业执照：具有独立承担民事责任的能力（提供营业执照（或事业法人证）、组织机构代码证、税务登记证或统一社会信用代码的营业执照等证明文件；其他组织应提供合法证明文件；自然人提供身份证件） 2、税收缴纳证明：提供响应时间前一年内已缴纳的至少一个月的纳税证明或完税证明，依法免税的单位应提供相关证明材料； 3、社会保障资金缴纳证明：提供响应时间前一年内已缴存的至少一个月的社会保障资金缴存单据或社保机构开具的社会保险参保缴费情况证明，依法不需要缴纳社会保障资金的单位应提供相关证明材料。 4、履约能力声明：提供具有履行合同所必需的设备和专业技术能力的承诺； 5、三年无违法声明：参加政府采购活动前3年内，在经营活动中没有重大违法记录的书面声明。 供应商还需在项目电子化交易系统中按要求填写《响应函》完成承诺并进行电子签章。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提交响应文件截止时间前六个月内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投标人须具备建筑工程施工总承包三级及以上资质，并具备有效的安全生产许可证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拟派项目经理须具备建筑工程专业二级及以上注册建造师资格，并具备安全生产考核合格证书，项目经理需提供本单位社保缴纳证明，且未担任其他在建设工程项目的项目经理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施工方案.docx 报价函 技术服务合同条款及其他商务要求应答表 供应商应提交的相关资格证明材料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投标人近3年内（2023年1月1日至今）（以合同签订或成交通知书授予时间为依据）承担过类似项目业绩，每项得3分，最多得15分。以合同或成交通知书加盖公章为依据。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现场施工人员素质</w:t>
            </w:r>
          </w:p>
        </w:tc>
        <w:tc>
          <w:tcPr>
            <w:tcW w:type="dxa" w:w="2492"/>
          </w:tcPr>
          <w:p>
            <w:pPr>
              <w:pStyle w:val="null3"/>
            </w:pPr>
            <w:r>
              <w:rPr>
                <w:rFonts w:ascii="仿宋_GB2312" w:hAnsi="仿宋_GB2312" w:cs="仿宋_GB2312" w:eastAsia="仿宋_GB2312"/>
              </w:rPr>
              <w:t>按本磋商文件要求配齐所有岗位管理人员（施工员、质检员、安全员、材料员、资料员）得10分，缺少任一岗位人员扣2分。以有效的岗位证书加盖单位公章为依据。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由投标人自行承诺。 投标人提供的磋商资料，必须完全响应磋商文件要求，且真实有效。无论在开标前、成交后或施工过程中，一经查证有虚假情况，招标人有权当即终止合同，并由此产生的一切法律责任和经济赔偿由投标人自行承担。涉及到磋商资料虚假骗取成交合同的，招标人有权上报项目所在地公检法司。</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施工承诺及维保措施；</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1-4分，磋商小组独立、自主评审，进行赋分。此项缺失，得分零分。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