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版本号：SDZC2025-15520250822001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医保基金线上监管服务（定点零售药店）项目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SDZC2025-155</w:t>
      </w:r>
      <w:r>
        <w:br/>
      </w:r>
      <w:r>
        <w:br/>
      </w:r>
      <w:r>
        <w:br/>
      </w:r>
    </w:p>
    <w:p>
      <w:pPr>
        <w:pStyle w:val="null3"/>
        <w:jc w:val="center"/>
        <w:outlineLvl w:val="2"/>
      </w:pPr>
      <w:r>
        <w:rPr>
          <w:rFonts w:ascii="仿宋_GB2312" w:hAnsi="仿宋_GB2312" w:cs="仿宋_GB2312" w:eastAsia="仿宋_GB2312"/>
          <w:sz w:val="28"/>
          <w:b/>
        </w:rPr>
        <w:t>西安市鄠邑区医疗保险基金管理中心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西安市鄠邑区医疗保险基金管理中心</w:t>
      </w:r>
      <w:r>
        <w:rPr>
          <w:rFonts w:ascii="仿宋_GB2312" w:hAnsi="仿宋_GB2312" w:cs="仿宋_GB2312" w:eastAsia="仿宋_GB2312"/>
        </w:rPr>
        <w:t>委托，拟对</w:t>
      </w:r>
      <w:r>
        <w:rPr>
          <w:rFonts w:ascii="仿宋_GB2312" w:hAnsi="仿宋_GB2312" w:cs="仿宋_GB2312" w:eastAsia="仿宋_GB2312"/>
        </w:rPr>
        <w:t>医保基金线上监管服务（定点零售药店）项目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医保基金线上监管服务（定点零售药店）项目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落实《医保数据“两结合三赋能”工作方案的通知》及《陕西省医疗保障基金智能审核和监控知识库、规则库管理办法（试行）》政策要求，本项目以强化医保基金网络监管能力、保障数据安全为核心，需建设医保基金智能监管能力，具备区内定点零售药店医保结算数据的安全合规接入能力，实现对频次/金额/人员关联等异常行为监测与识别，内置文件库支撑规则动态迭代，提供从风险预警至追缴反馈的全流程线上管理，实现降低人力核查成本，保障异常支出识别响应效率，提升基金监管效率与精准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采购包1（医保基金线上监管服务（定点零售药店））：属于专门面向中小企业采购。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西安市鄠邑区医疗保险基金管理中心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西安市鄠邑区沣京东路12号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雒展飞、朱洺玉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029-89019329、84852880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 座7 层703（张家堡转 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宋薇（2号工位）、魏蕾、张爱君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时，向陕西上德招标有限公司交纳招标代理服务费。参照《国家计委关于印发〈招标代理服务收费管理暂行办法〉的通知》(计价格〔2002〕1980号)、《国家发展改革委员会办公厅关于招标代理服务收费有关问题的通知》（发改办价格〔2003〕857号），不足肆仟元的按照肆仟元收取。由成交单位以转账、刷卡、现金形式向受托方支付。 2.开户行名称：陕西上德招标有限公司 3.开 户 行：西安银行股份有限公司文景路支行 4.账 号：7070 1151 0000 0135 22 5.西安银行文景路行号：313791000509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西安市鄠邑区医疗保险基金管理中心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西安市鄠邑区医疗保险基金管理中心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西安市鄠邑区医疗保险基金管理中心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在合同服务期内完成约定的全部服务内容，符合现行的国家标准或行业相关的法律法规、规章制度等，未发现违法违规或违反合同条款内容。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联系人：宋薇(2号工位)</w:t>
      </w:r>
    </w:p>
    <w:p>
      <w:pPr>
        <w:pStyle w:val="null3"/>
      </w:pPr>
      <w:r>
        <w:rPr>
          <w:rFonts w:ascii="仿宋_GB2312" w:hAnsi="仿宋_GB2312" w:cs="仿宋_GB2312" w:eastAsia="仿宋_GB2312"/>
        </w:rPr>
        <w:t>联系电话：029-86673953、86518381、89299829、89293231 转802</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落实《医保数据“两结合三赋能”工作方案的通知》及《陕西省医疗保障基金智能审核和监控知识库、规则库管理办法（试行）》政策要求，本项目以强化医保基金网络监管能力、保障数据安全为核心，需建设医保基金智能监管能力，具备区内定点零售药店医保结算数据的安全合规接入能力，实现对频次/金额/人员关联等异常行为监测与识别，内置文件库支撑规则动态迭代，提供从风险预警至追缴反馈的全流程线上管理，实现降低人力核查成本，保障异常支出识别响应效率，提升基金监管效率与精准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医保基金线上监管服务（定点零售药店）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标的名称：医保基金线上监管服务（定点零售药店）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rPr>
              <w:t>1.服务项目概况</w:t>
            </w:r>
          </w:p>
          <w:p>
            <w:pPr>
              <w:pStyle w:val="null3"/>
            </w:pPr>
            <w:r>
              <w:rPr>
                <w:rFonts w:ascii="仿宋_GB2312" w:hAnsi="仿宋_GB2312" w:cs="仿宋_GB2312" w:eastAsia="仿宋_GB2312"/>
              </w:rPr>
              <w:t>为全面落实《医保数据“两结合三赋能”工作方案的通知》及《陕西省医疗保障基金智能审核和监控知识库、规则库管理办法（试行）》政策要求，本项目以强化医保基金网络监管能力、保障数据安全为核心，需建设医保基金智能监管能力，具备区内定点零售药店医保结算数据的安全合规接入能力，实现对频次/金额/人员关联等异常行为监测与识别，内置文件库支撑规则动态迭代，提供从风险预警至追缴反馈的全流程线上管理，实现降低人力核查成本，保障异常支出识别响应效率，提升基金监管效率与精准度。</w:t>
            </w:r>
          </w:p>
          <w:p>
            <w:pPr>
              <w:pStyle w:val="null3"/>
            </w:pPr>
            <w:r>
              <w:rPr>
                <w:rFonts w:ascii="仿宋_GB2312" w:hAnsi="仿宋_GB2312" w:cs="仿宋_GB2312" w:eastAsia="仿宋_GB2312"/>
              </w:rPr>
              <w:t>2.服务内容</w:t>
            </w:r>
          </w:p>
          <w:p>
            <w:pPr>
              <w:pStyle w:val="null3"/>
            </w:pPr>
            <w:r>
              <w:rPr>
                <w:rFonts w:ascii="仿宋_GB2312" w:hAnsi="仿宋_GB2312" w:cs="仿宋_GB2312" w:eastAsia="仿宋_GB2312"/>
              </w:rPr>
              <w:t>2.1数据分级治理</w:t>
            </w:r>
          </w:p>
          <w:p>
            <w:pPr>
              <w:pStyle w:val="null3"/>
            </w:pPr>
            <w:r>
              <w:rPr>
                <w:rFonts w:ascii="仿宋_GB2312" w:hAnsi="仿宋_GB2312" w:cs="仿宋_GB2312" w:eastAsia="仿宋_GB2312"/>
              </w:rPr>
              <w:t>构建兼容鄠邑区定点零售药店多元化接入环境的医保结算数据监管能力，提供符合相关标准的差异化数据治理能力，支持区医保局动态配置数据调阅范围及频次的权限，并生成全流程安全审计日志留存。</w:t>
            </w:r>
          </w:p>
          <w:p>
            <w:pPr>
              <w:pStyle w:val="null3"/>
            </w:pPr>
            <w:r>
              <w:rPr>
                <w:rFonts w:ascii="仿宋_GB2312" w:hAnsi="仿宋_GB2312" w:cs="仿宋_GB2312" w:eastAsia="仿宋_GB2312"/>
              </w:rPr>
              <w:t>2.2医保基金线索分析平台</w:t>
            </w:r>
          </w:p>
          <w:p>
            <w:pPr>
              <w:pStyle w:val="null3"/>
            </w:pPr>
            <w:r>
              <w:rPr>
                <w:rFonts w:ascii="仿宋_GB2312" w:hAnsi="仿宋_GB2312" w:cs="仿宋_GB2312" w:eastAsia="仿宋_GB2312"/>
              </w:rPr>
              <w:t>平台需具备账号密码登陆及安全校验、个人信息管理功能；支持站内消息提醒，展示新增风险预警信息；支持对脱敏数据按照不同维度进行统计分析，精准监测并标记疑似违规数据进行及时预警，预警类型需涵盖一人多次、特慢病结算等至少4类预警类型，且能根据异常数据自动生成含药店基础信息、药品信息、医保结算数据等的证据链，并能附相关法规条例作为违规判断依据；支持结算数据统计、异常数据统计等多维度统计结算数据并分类展示；支持生成包含基础信息、结算及异常数据等的药店档案，还需满足药店账号统一管理，包括创建、删除及权限配置等操作。</w:t>
            </w:r>
          </w:p>
          <w:p>
            <w:pPr>
              <w:pStyle w:val="null3"/>
            </w:pPr>
            <w:r>
              <w:rPr>
                <w:rFonts w:ascii="仿宋_GB2312" w:hAnsi="仿宋_GB2312" w:cs="仿宋_GB2312" w:eastAsia="仿宋_GB2312"/>
              </w:rPr>
              <w:t>内容包括：登陆、首页、消息通知、医保数据分析、异常数据预警、结算数据统计、药店档案、药店账号管理。</w:t>
            </w:r>
          </w:p>
          <w:p>
            <w:pPr>
              <w:pStyle w:val="null3"/>
            </w:pPr>
            <w:r>
              <w:rPr>
                <w:rFonts w:ascii="仿宋_GB2312" w:hAnsi="仿宋_GB2312" w:cs="仿宋_GB2312" w:eastAsia="仿宋_GB2312"/>
              </w:rPr>
              <w:t>2.3文件库构建</w:t>
            </w:r>
          </w:p>
          <w:p>
            <w:pPr>
              <w:pStyle w:val="null3"/>
            </w:pPr>
            <w:r>
              <w:rPr>
                <w:rFonts w:ascii="仿宋_GB2312" w:hAnsi="仿宋_GB2312" w:cs="仿宋_GB2312" w:eastAsia="仿宋_GB2312"/>
              </w:rPr>
              <w:t>文件库是平台在进行数据分析和审核所需知识和依据的集合。平台支持用户以PDF/Word格式对政策法规、条例规定、服务文本协议等资料进行上传，可在线预览或下载查看详情。</w:t>
            </w:r>
          </w:p>
          <w:p>
            <w:pPr>
              <w:pStyle w:val="null3"/>
            </w:pPr>
            <w:r>
              <w:rPr>
                <w:rFonts w:ascii="仿宋_GB2312" w:hAnsi="仿宋_GB2312" w:cs="仿宋_GB2312" w:eastAsia="仿宋_GB2312"/>
              </w:rPr>
              <w:t>2.4.规则库构建</w:t>
            </w:r>
          </w:p>
          <w:p>
            <w:pPr>
              <w:pStyle w:val="null3"/>
            </w:pPr>
            <w:r>
              <w:rPr>
                <w:rFonts w:ascii="仿宋_GB2312" w:hAnsi="仿宋_GB2312" w:cs="仿宋_GB2312" w:eastAsia="仿宋_GB2312"/>
              </w:rPr>
              <w:t>规则库是基于文件库判断监管对象相关行为合法合规合理性的逻辑、参数指标、参考阈值以及判断等级等的集合。需具备可配置化基金监管规则管理能力，支持区医保局依据国家医保政策动态调整，实现规则名称、判定条件、风险阈值、政策依据等要素的在线维护。系统内所有规则修改需留存完整追溯日志，并通过可视化界面降低基层人员配置门槛。</w:t>
            </w:r>
          </w:p>
          <w:p>
            <w:pPr>
              <w:pStyle w:val="null3"/>
            </w:pPr>
            <w:r>
              <w:rPr>
                <w:rFonts w:ascii="仿宋_GB2312" w:hAnsi="仿宋_GB2312" w:cs="仿宋_GB2312" w:eastAsia="仿宋_GB2312"/>
              </w:rPr>
              <w:t>3.服务具体要求</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任务</w:t>
                  </w:r>
                </w:p>
              </w:tc>
              <w:tc>
                <w:tcPr>
                  <w:tcW w:type="dxa" w:w="511"/>
                </w:tcPr>
                <w:p>
                  <w:pPr>
                    <w:pStyle w:val="null3"/>
                  </w:pPr>
                  <w:r>
                    <w:rPr>
                      <w:rFonts w:ascii="仿宋_GB2312" w:hAnsi="仿宋_GB2312" w:cs="仿宋_GB2312" w:eastAsia="仿宋_GB2312"/>
                    </w:rPr>
                    <w:t>描述</w:t>
                  </w:r>
                </w:p>
              </w:tc>
              <w:tc>
                <w:tcPr>
                  <w:tcW w:type="dxa" w:w="511"/>
                </w:tcPr>
                <w:p>
                  <w:pPr>
                    <w:pStyle w:val="null3"/>
                  </w:pPr>
                  <w:r>
                    <w:rPr>
                      <w:rFonts w:ascii="仿宋_GB2312" w:hAnsi="仿宋_GB2312" w:cs="仿宋_GB2312" w:eastAsia="仿宋_GB2312"/>
                    </w:rPr>
                    <w:t>数量</w:t>
                  </w:r>
                </w:p>
              </w:tc>
            </w:tr>
            <w:tr>
              <w:tc>
                <w:tcPr>
                  <w:tcW w:type="dxa" w:w="511"/>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数据分级治理</w:t>
                  </w:r>
                </w:p>
              </w:tc>
              <w:tc>
                <w:tcPr>
                  <w:tcW w:type="dxa" w:w="511"/>
                </w:tcPr>
                <w:p>
                  <w:pPr>
                    <w:pStyle w:val="null3"/>
                  </w:pPr>
                  <w:r>
                    <w:rPr>
                      <w:rFonts w:ascii="仿宋_GB2312" w:hAnsi="仿宋_GB2312" w:cs="仿宋_GB2312" w:eastAsia="仿宋_GB2312"/>
                    </w:rPr>
                    <w:t>数据预处理</w:t>
                  </w:r>
                </w:p>
              </w:tc>
              <w:tc>
                <w:tcPr>
                  <w:tcW w:type="dxa" w:w="511"/>
                </w:tcPr>
                <w:p>
                  <w:pPr>
                    <w:pStyle w:val="null3"/>
                  </w:pPr>
                  <w:r>
                    <w:rPr>
                      <w:rFonts w:ascii="仿宋_GB2312" w:hAnsi="仿宋_GB2312" w:cs="仿宋_GB2312" w:eastAsia="仿宋_GB2312"/>
                    </w:rPr>
                    <w:t>构建兼容鄠邑区定点零售药店多元化接入环境的医保结算数据监管能力，提供符合相关标准的差异化数据治理能力：①面向具备信息化能力的定点药店，实现结算信息自动脱敏与授权调阅脱敏后的数据；②针对无信息化能力的定点药店提供可在线提交数据清洗脱敏的方式。系统须对医疗机构标识码、交易流水号、药品分类代码、参保人证件号、疾病分类代码、儿童用药标记等核心字段实施脱敏转化处理，支持区医保局动态配置数据调阅范围及频次的权限，并生成全流程安全审计日志留存。</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2</w:t>
                  </w:r>
                </w:p>
              </w:tc>
              <w:tc>
                <w:tcPr>
                  <w:tcW w:type="dxa" w:w="511"/>
                  <w:vMerge/>
                </w:tcPr>
                <w:p/>
              </w:tc>
              <w:tc>
                <w:tcPr>
                  <w:tcW w:type="dxa" w:w="511"/>
                </w:tcPr>
                <w:p>
                  <w:pPr>
                    <w:pStyle w:val="null3"/>
                  </w:pPr>
                  <w:r>
                    <w:rPr>
                      <w:rFonts w:ascii="仿宋_GB2312" w:hAnsi="仿宋_GB2312" w:cs="仿宋_GB2312" w:eastAsia="仿宋_GB2312"/>
                    </w:rPr>
                    <w:t>脱敏过滤</w:t>
                  </w:r>
                </w:p>
              </w:tc>
              <w:tc>
                <w:tcPr>
                  <w:tcW w:type="dxa" w:w="511"/>
                </w:tcPr>
                <w:p>
                  <w:pPr>
                    <w:pStyle w:val="null3"/>
                  </w:pPr>
                  <w:r>
                    <w:rPr>
                      <w:rFonts w:ascii="仿宋_GB2312" w:hAnsi="仿宋_GB2312" w:cs="仿宋_GB2312" w:eastAsia="仿宋_GB2312"/>
                    </w:rPr>
                    <w:t>对数据信息中的非关键字段进行过滤，对需分析的关键字段进行脱敏转化及标准化处理。</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3</w:t>
                  </w:r>
                </w:p>
              </w:tc>
              <w:tc>
                <w:tcPr>
                  <w:tcW w:type="dxa" w:w="511"/>
                  <w:vMerge w:val="restart"/>
                </w:tcPr>
                <w:p>
                  <w:pPr>
                    <w:pStyle w:val="null3"/>
                  </w:pPr>
                  <w:r>
                    <w:rPr>
                      <w:rFonts w:ascii="仿宋_GB2312" w:hAnsi="仿宋_GB2312" w:cs="仿宋_GB2312" w:eastAsia="仿宋_GB2312"/>
                    </w:rPr>
                    <w:t>医保基金线索分析平台</w:t>
                  </w:r>
                </w:p>
              </w:tc>
              <w:tc>
                <w:tcPr>
                  <w:tcW w:type="dxa" w:w="511"/>
                </w:tcPr>
                <w:p>
                  <w:pPr>
                    <w:pStyle w:val="null3"/>
                  </w:pPr>
                  <w:r>
                    <w:rPr>
                      <w:rFonts w:ascii="仿宋_GB2312" w:hAnsi="仿宋_GB2312" w:cs="仿宋_GB2312" w:eastAsia="仿宋_GB2312"/>
                    </w:rPr>
                    <w:t>登陆</w:t>
                  </w:r>
                </w:p>
              </w:tc>
              <w:tc>
                <w:tcPr>
                  <w:tcW w:type="dxa" w:w="511"/>
                </w:tcPr>
                <w:p>
                  <w:pPr>
                    <w:pStyle w:val="null3"/>
                  </w:pPr>
                  <w:r>
                    <w:rPr>
                      <w:rFonts w:ascii="仿宋_GB2312" w:hAnsi="仿宋_GB2312" w:cs="仿宋_GB2312" w:eastAsia="仿宋_GB2312"/>
                    </w:rPr>
                    <w:t>需具备登陆入口、账号密码登陆、安全校验、记住密码、自动登陆等功能。</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4</w:t>
                  </w:r>
                </w:p>
              </w:tc>
              <w:tc>
                <w:tcPr>
                  <w:tcW w:type="dxa" w:w="511"/>
                  <w:vMerge/>
                </w:tcPr>
                <w:p/>
              </w:tc>
              <w:tc>
                <w:tcPr>
                  <w:tcW w:type="dxa" w:w="511"/>
                </w:tcPr>
                <w:p>
                  <w:pPr>
                    <w:pStyle w:val="null3"/>
                  </w:pPr>
                  <w:r>
                    <w:rPr>
                      <w:rFonts w:ascii="仿宋_GB2312" w:hAnsi="仿宋_GB2312" w:cs="仿宋_GB2312" w:eastAsia="仿宋_GB2312"/>
                    </w:rPr>
                    <w:t>首页</w:t>
                  </w:r>
                </w:p>
              </w:tc>
              <w:tc>
                <w:tcPr>
                  <w:tcW w:type="dxa" w:w="511"/>
                </w:tcPr>
                <w:p>
                  <w:pPr>
                    <w:pStyle w:val="null3"/>
                  </w:pPr>
                  <w:r>
                    <w:rPr>
                      <w:rFonts w:ascii="仿宋_GB2312" w:hAnsi="仿宋_GB2312" w:cs="仿宋_GB2312" w:eastAsia="仿宋_GB2312"/>
                    </w:rPr>
                    <w:t>支持查看并修改个人信息，包括设置个人头像、查看个人姓名、登录手机号、修改账号密码等信息，在用户登陆后按照发生时间倒序展示新增风险预警信息。</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5</w:t>
                  </w:r>
                </w:p>
              </w:tc>
              <w:tc>
                <w:tcPr>
                  <w:tcW w:type="dxa" w:w="511"/>
                  <w:vMerge/>
                </w:tcPr>
                <w:p/>
              </w:tc>
              <w:tc>
                <w:tcPr>
                  <w:tcW w:type="dxa" w:w="511"/>
                </w:tcPr>
                <w:p>
                  <w:pPr>
                    <w:pStyle w:val="null3"/>
                  </w:pPr>
                  <w:r>
                    <w:rPr>
                      <w:rFonts w:ascii="仿宋_GB2312" w:hAnsi="仿宋_GB2312" w:cs="仿宋_GB2312" w:eastAsia="仿宋_GB2312"/>
                    </w:rPr>
                    <w:t>消息通知</w:t>
                  </w:r>
                </w:p>
              </w:tc>
              <w:tc>
                <w:tcPr>
                  <w:tcW w:type="dxa" w:w="511"/>
                </w:tcPr>
                <w:p>
                  <w:pPr>
                    <w:pStyle w:val="null3"/>
                  </w:pPr>
                  <w:r>
                    <w:rPr>
                      <w:rFonts w:ascii="仿宋_GB2312" w:hAnsi="仿宋_GB2312" w:cs="仿宋_GB2312" w:eastAsia="仿宋_GB2312"/>
                    </w:rPr>
                    <w:t>支持站内消息提醒，在主页及对应功能菜单做出醒目提示，点击可查看完整的异常数据信息和证据链信息。</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6</w:t>
                  </w:r>
                </w:p>
              </w:tc>
              <w:tc>
                <w:tcPr>
                  <w:tcW w:type="dxa" w:w="511"/>
                  <w:vMerge/>
                </w:tcPr>
                <w:p/>
              </w:tc>
              <w:tc>
                <w:tcPr>
                  <w:tcW w:type="dxa" w:w="511"/>
                </w:tcPr>
                <w:p>
                  <w:pPr>
                    <w:pStyle w:val="null3"/>
                  </w:pPr>
                  <w:r>
                    <w:rPr>
                      <w:rFonts w:ascii="仿宋_GB2312" w:hAnsi="仿宋_GB2312" w:cs="仿宋_GB2312" w:eastAsia="仿宋_GB2312"/>
                    </w:rPr>
                    <w:t>医保数据分析</w:t>
                  </w:r>
                </w:p>
              </w:tc>
              <w:tc>
                <w:tcPr>
                  <w:tcW w:type="dxa" w:w="511"/>
                </w:tcPr>
                <w:p>
                  <w:pPr>
                    <w:pStyle w:val="null3"/>
                  </w:pPr>
                  <w:r>
                    <w:rPr>
                      <w:rFonts w:ascii="仿宋_GB2312" w:hAnsi="仿宋_GB2312" w:cs="仿宋_GB2312" w:eastAsia="仿宋_GB2312"/>
                    </w:rPr>
                    <w:t>支持对脱敏数据多维度进行统计分析，普通结算数据只进行统计，医保结算数据进行规则轮循，若属合规医保结算数据则只统计不留存，若属异常医保结算数据需标记为“疑似违规数据”进行留存并向工作人员发出风险预警提示。</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7</w:t>
                  </w:r>
                </w:p>
              </w:tc>
              <w:tc>
                <w:tcPr>
                  <w:tcW w:type="dxa" w:w="511"/>
                  <w:vMerge/>
                </w:tcPr>
                <w:p/>
              </w:tc>
              <w:tc>
                <w:tcPr>
                  <w:tcW w:type="dxa" w:w="511"/>
                </w:tcPr>
                <w:p>
                  <w:pPr>
                    <w:pStyle w:val="null3"/>
                  </w:pPr>
                  <w:r>
                    <w:rPr>
                      <w:rFonts w:ascii="仿宋_GB2312" w:hAnsi="仿宋_GB2312" w:cs="仿宋_GB2312" w:eastAsia="仿宋_GB2312"/>
                    </w:rPr>
                    <w:t>异常数据预警</w:t>
                  </w:r>
                </w:p>
              </w:tc>
              <w:tc>
                <w:tcPr>
                  <w:tcW w:type="dxa" w:w="511"/>
                </w:tcPr>
                <w:p>
                  <w:pPr>
                    <w:pStyle w:val="null3"/>
                  </w:pPr>
                  <w:r>
                    <w:rPr>
                      <w:rFonts w:ascii="仿宋_GB2312" w:hAnsi="仿宋_GB2312" w:cs="仿宋_GB2312" w:eastAsia="仿宋_GB2312"/>
                    </w:rPr>
                    <w:t>需构建覆盖多维度违规场景的基金风险智能识别机制，至少包含以下4类监测场景：①单参保人单日内区内跨药店购药≥3次的购药频次异常；②特慢病用药超医保支付限额的范围违规；③个人账户单笔结算金额＞2000元的高额交易；④非24小时营业药店在闭店时段（7：00前/23：00后）的交易时段异常等。系统须自动关联文件库、规则库生成证据链，涵盖药店名称、时间范围、违规类型等凭证，支持脱敏化下载/查看/打印；支持按机构名称、时间范围、违规类别等多维度检索，实现违规线索标准化归档与追溯。慢性病患者30天内超过2次结算报销的。同一药品追溯码重第2次及以上重复出现结算。定点零售药店当月结算数据较上月结算数据增长50%以上或本季度较上季度增长100%的纳入预警。</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8</w:t>
                  </w:r>
                </w:p>
              </w:tc>
              <w:tc>
                <w:tcPr>
                  <w:tcW w:type="dxa" w:w="511"/>
                  <w:vMerge w:val="restart"/>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结算数据统计</w:t>
                  </w:r>
                </w:p>
              </w:tc>
              <w:tc>
                <w:tcPr>
                  <w:tcW w:type="dxa" w:w="511"/>
                </w:tcPr>
                <w:p>
                  <w:pPr>
                    <w:pStyle w:val="null3"/>
                  </w:pPr>
                  <w:r>
                    <w:rPr>
                      <w:rFonts w:ascii="仿宋_GB2312" w:hAnsi="仿宋_GB2312" w:cs="仿宋_GB2312" w:eastAsia="仿宋_GB2312"/>
                    </w:rPr>
                    <w:t>支持对区内所有定点零售药店的结算数据进行统计查看，包括药店名称、交易时间、现金支付金额、医保自费金额、医保统筹金额等字段，支持用户多维度筛选及导出查看数据。</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9</w:t>
                  </w:r>
                </w:p>
              </w:tc>
              <w:tc>
                <w:tcPr>
                  <w:tcW w:type="dxa" w:w="511"/>
                  <w:vMerge/>
                </w:tcPr>
                <w:p/>
              </w:tc>
              <w:tc>
                <w:tcPr>
                  <w:tcW w:type="dxa" w:w="511"/>
                </w:tcPr>
                <w:p>
                  <w:pPr>
                    <w:pStyle w:val="null3"/>
                  </w:pPr>
                  <w:r>
                    <w:rPr>
                      <w:rFonts w:ascii="仿宋_GB2312" w:hAnsi="仿宋_GB2312" w:cs="仿宋_GB2312" w:eastAsia="仿宋_GB2312"/>
                    </w:rPr>
                    <w:t>药店档案</w:t>
                  </w:r>
                </w:p>
              </w:tc>
              <w:tc>
                <w:tcPr>
                  <w:tcW w:type="dxa" w:w="511"/>
                </w:tcPr>
                <w:p>
                  <w:pPr>
                    <w:pStyle w:val="null3"/>
                  </w:pPr>
                  <w:r>
                    <w:rPr>
                      <w:rFonts w:ascii="仿宋_GB2312" w:hAnsi="仿宋_GB2312" w:cs="仿宋_GB2312" w:eastAsia="仿宋_GB2312"/>
                    </w:rPr>
                    <w:t>支持基于医保数据为鄠邑区定点零售药店自动生成电子档案，按时间倒序记录药店名称、地址、服务类别、医保编码等基础信息，以及不同结算方式的金额统计、异常数据详情等内容；支持用户按年度、月度、药店名称、结算金额范围、异常数据区间等条件筛选档案数据，并提供数据导出功能，满足医保基金监管的数据查询与分析需求。</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10</w:t>
                  </w:r>
                </w:p>
              </w:tc>
              <w:tc>
                <w:tcPr>
                  <w:tcW w:type="dxa" w:w="511"/>
                  <w:vMerge/>
                </w:tcPr>
                <w:p/>
              </w:tc>
              <w:tc>
                <w:tcPr>
                  <w:tcW w:type="dxa" w:w="511"/>
                </w:tcPr>
                <w:p>
                  <w:pPr>
                    <w:pStyle w:val="null3"/>
                  </w:pPr>
                  <w:r>
                    <w:rPr>
                      <w:rFonts w:ascii="仿宋_GB2312" w:hAnsi="仿宋_GB2312" w:cs="仿宋_GB2312" w:eastAsia="仿宋_GB2312"/>
                    </w:rPr>
                    <w:t>药店账号管理</w:t>
                  </w:r>
                </w:p>
              </w:tc>
              <w:tc>
                <w:tcPr>
                  <w:tcW w:type="dxa" w:w="511"/>
                </w:tcPr>
                <w:p>
                  <w:pPr>
                    <w:pStyle w:val="null3"/>
                  </w:pPr>
                  <w:r>
                    <w:rPr>
                      <w:rFonts w:ascii="仿宋_GB2312" w:hAnsi="仿宋_GB2312" w:cs="仿宋_GB2312" w:eastAsia="仿宋_GB2312"/>
                    </w:rPr>
                    <w:t>支持用户对区内定点零售药店进行账号管理，需具备账号权限配置、创建、删除等功能：</w:t>
                  </w:r>
                  <w:r>
                    <w:br/>
                  </w:r>
                  <w:r>
                    <w:rPr>
                      <w:rFonts w:ascii="仿宋_GB2312" w:hAnsi="仿宋_GB2312" w:cs="仿宋_GB2312" w:eastAsia="仿宋_GB2312"/>
                    </w:rPr>
                    <w:t xml:space="preserve"> （1）支持用户对区内新纳入且不具备技术能力的药店创建专属账号，包括用户名、账号、密码等。</w:t>
                  </w:r>
                  <w:r>
                    <w:br/>
                  </w:r>
                  <w:r>
                    <w:rPr>
                      <w:rFonts w:ascii="仿宋_GB2312" w:hAnsi="仿宋_GB2312" w:cs="仿宋_GB2312" w:eastAsia="仿宋_GB2312"/>
                    </w:rPr>
                    <w:t xml:space="preserve"> （2）支持用户对注销、退出定点范围的零售药店的账号进行删除。</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11</w:t>
                  </w:r>
                </w:p>
              </w:tc>
              <w:tc>
                <w:tcPr>
                  <w:tcW w:type="dxa" w:w="511"/>
                  <w:vMerge w:val="restart"/>
                </w:tcPr>
                <w:p>
                  <w:pPr>
                    <w:pStyle w:val="null3"/>
                  </w:pPr>
                  <w:r>
                    <w:rPr>
                      <w:rFonts w:ascii="仿宋_GB2312" w:hAnsi="仿宋_GB2312" w:cs="仿宋_GB2312" w:eastAsia="仿宋_GB2312"/>
                    </w:rPr>
                    <w:t>文件库构建</w:t>
                  </w:r>
                </w:p>
              </w:tc>
              <w:tc>
                <w:tcPr>
                  <w:tcW w:type="dxa" w:w="511"/>
                </w:tcPr>
                <w:p>
                  <w:pPr>
                    <w:pStyle w:val="null3"/>
                  </w:pPr>
                  <w:r>
                    <w:rPr>
                      <w:rFonts w:ascii="仿宋_GB2312" w:hAnsi="仿宋_GB2312" w:cs="仿宋_GB2312" w:eastAsia="仿宋_GB2312"/>
                    </w:rPr>
                    <w:t>文件上传</w:t>
                  </w:r>
                </w:p>
              </w:tc>
              <w:tc>
                <w:tcPr>
                  <w:tcW w:type="dxa" w:w="511"/>
                </w:tcPr>
                <w:p>
                  <w:pPr>
                    <w:pStyle w:val="null3"/>
                  </w:pPr>
                  <w:r>
                    <w:rPr>
                      <w:rFonts w:ascii="仿宋_GB2312" w:hAnsi="仿宋_GB2312" w:cs="仿宋_GB2312" w:eastAsia="仿宋_GB2312"/>
                    </w:rPr>
                    <w:t>文件库是平台在进行数据分析和审核所需知识和依据的集合。平台支持用户以PDF/Word格式对资料进行上传。</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12</w:t>
                  </w:r>
                </w:p>
              </w:tc>
              <w:tc>
                <w:tcPr>
                  <w:tcW w:type="dxa" w:w="511"/>
                  <w:vMerge/>
                </w:tcPr>
                <w:p/>
              </w:tc>
              <w:tc>
                <w:tcPr>
                  <w:tcW w:type="dxa" w:w="511"/>
                </w:tcPr>
                <w:p>
                  <w:pPr>
                    <w:pStyle w:val="null3"/>
                  </w:pPr>
                  <w:r>
                    <w:rPr>
                      <w:rFonts w:ascii="仿宋_GB2312" w:hAnsi="仿宋_GB2312" w:cs="仿宋_GB2312" w:eastAsia="仿宋_GB2312"/>
                    </w:rPr>
                    <w:t>预览查看</w:t>
                  </w:r>
                </w:p>
              </w:tc>
              <w:tc>
                <w:tcPr>
                  <w:tcW w:type="dxa" w:w="511"/>
                </w:tcPr>
                <w:p>
                  <w:pPr>
                    <w:pStyle w:val="null3"/>
                  </w:pPr>
                  <w:r>
                    <w:rPr>
                      <w:rFonts w:ascii="仿宋_GB2312" w:hAnsi="仿宋_GB2312" w:cs="仿宋_GB2312" w:eastAsia="仿宋_GB2312"/>
                    </w:rPr>
                    <w:t>应支持对文件库中资料进行在线预览或下载查看。</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13</w:t>
                  </w:r>
                </w:p>
              </w:tc>
              <w:tc>
                <w:tcPr>
                  <w:tcW w:type="dxa" w:w="511"/>
                  <w:vMerge/>
                </w:tcPr>
                <w:p/>
              </w:tc>
              <w:tc>
                <w:tcPr>
                  <w:tcW w:type="dxa" w:w="511"/>
                </w:tcPr>
                <w:p>
                  <w:pPr>
                    <w:pStyle w:val="null3"/>
                  </w:pPr>
                  <w:r>
                    <w:rPr>
                      <w:rFonts w:ascii="仿宋_GB2312" w:hAnsi="仿宋_GB2312" w:cs="仿宋_GB2312" w:eastAsia="仿宋_GB2312"/>
                    </w:rPr>
                    <w:t>知识应用</w:t>
                  </w:r>
                </w:p>
              </w:tc>
              <w:tc>
                <w:tcPr>
                  <w:tcW w:type="dxa" w:w="511"/>
                </w:tcPr>
                <w:p>
                  <w:pPr>
                    <w:pStyle w:val="null3"/>
                  </w:pPr>
                  <w:r>
                    <w:rPr>
                      <w:rFonts w:ascii="仿宋_GB2312" w:hAnsi="仿宋_GB2312" w:cs="仿宋_GB2312" w:eastAsia="仿宋_GB2312"/>
                    </w:rPr>
                    <w:t>文件库中的文件作为重要知识来源，一方面在证据链生成时，自动将相关文档附于报告中作为判定依据；另一方面为规则库提供规则制定参考，确保政策执行与监管判定的准确性和规范性。</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14</w:t>
                  </w:r>
                </w:p>
              </w:tc>
              <w:tc>
                <w:tcPr>
                  <w:tcW w:type="dxa" w:w="511"/>
                  <w:vMerge w:val="restart"/>
                </w:tcPr>
                <w:p>
                  <w:pPr>
                    <w:pStyle w:val="null3"/>
                  </w:pPr>
                  <w:r>
                    <w:rPr>
                      <w:rFonts w:ascii="仿宋_GB2312" w:hAnsi="仿宋_GB2312" w:cs="仿宋_GB2312" w:eastAsia="仿宋_GB2312"/>
                    </w:rPr>
                    <w:t>规则库构建</w:t>
                  </w:r>
                </w:p>
              </w:tc>
              <w:tc>
                <w:tcPr>
                  <w:tcW w:type="dxa" w:w="511"/>
                </w:tcPr>
                <w:p>
                  <w:pPr>
                    <w:pStyle w:val="null3"/>
                  </w:pPr>
                  <w:r>
                    <w:rPr>
                      <w:rFonts w:ascii="仿宋_GB2312" w:hAnsi="仿宋_GB2312" w:cs="仿宋_GB2312" w:eastAsia="仿宋_GB2312"/>
                    </w:rPr>
                    <w:t>创建规则</w:t>
                  </w:r>
                </w:p>
              </w:tc>
              <w:tc>
                <w:tcPr>
                  <w:tcW w:type="dxa" w:w="511"/>
                </w:tcPr>
                <w:p>
                  <w:pPr>
                    <w:pStyle w:val="null3"/>
                  </w:pPr>
                  <w:r>
                    <w:rPr>
                      <w:rFonts w:ascii="仿宋_GB2312" w:hAnsi="仿宋_GB2312" w:cs="仿宋_GB2312" w:eastAsia="仿宋_GB2312"/>
                    </w:rPr>
                    <w:t>支持用户根据医保政策变化或医保业务规定需求，对规则进行增删改查，包括规则名称、规则条件、阈值、规则依据等字段。系统须内置两类可扩展规则框架，①阈值判定型规则：针对数值/日期型指标（如个人账户单笔限额、特病支付比例），配置数学比较符（＞/＜/＝）及基础运算符实现实时核验；②字典映射型规则：针对字符型指标（如药品通用名、剂型分类），通过与目录库（包含/不包含/前缀匹配等）双向核验实现逻辑判断。所有规则修改需留存完整追溯日志，并通过可视化界面降低基层人员配置门槛。</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15</w:t>
                  </w:r>
                </w:p>
              </w:tc>
              <w:tc>
                <w:tcPr>
                  <w:tcW w:type="dxa" w:w="511"/>
                  <w:vMerge/>
                </w:tcPr>
                <w:p/>
              </w:tc>
              <w:tc>
                <w:tcPr>
                  <w:tcW w:type="dxa" w:w="511"/>
                </w:tcPr>
                <w:p>
                  <w:pPr>
                    <w:pStyle w:val="null3"/>
                  </w:pPr>
                  <w:r>
                    <w:rPr>
                      <w:rFonts w:ascii="仿宋_GB2312" w:hAnsi="仿宋_GB2312" w:cs="仿宋_GB2312" w:eastAsia="仿宋_GB2312"/>
                    </w:rPr>
                    <w:t>文件关联</w:t>
                  </w:r>
                </w:p>
              </w:tc>
              <w:tc>
                <w:tcPr>
                  <w:tcW w:type="dxa" w:w="511"/>
                </w:tcPr>
                <w:p>
                  <w:pPr>
                    <w:pStyle w:val="null3"/>
                  </w:pPr>
                  <w:r>
                    <w:rPr>
                      <w:rFonts w:ascii="仿宋_GB2312" w:hAnsi="仿宋_GB2312" w:cs="仿宋_GB2312" w:eastAsia="仿宋_GB2312"/>
                    </w:rPr>
                    <w:t>增设规则时支持选择关联文件库中一或多个资料作为规则来源依据。</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4.服务需求</w:t>
            </w:r>
          </w:p>
          <w:p>
            <w:pPr>
              <w:pStyle w:val="null3"/>
            </w:pPr>
            <w:r>
              <w:rPr>
                <w:rFonts w:ascii="仿宋_GB2312" w:hAnsi="仿宋_GB2312" w:cs="仿宋_GB2312" w:eastAsia="仿宋_GB2312"/>
              </w:rPr>
              <w:t>为了使本项目顺利实施，要求提供本地化服务，其中包括软件部署及后期运维服务，提供7*24小时的运维服务支持，4小时内响应，24小时以内解决问题；具体内容包含以下：</w:t>
            </w:r>
          </w:p>
          <w:p>
            <w:pPr>
              <w:pStyle w:val="null3"/>
            </w:pPr>
            <w:r>
              <w:rPr>
                <w:rFonts w:ascii="仿宋_GB2312" w:hAnsi="仿宋_GB2312" w:cs="仿宋_GB2312" w:eastAsia="仿宋_GB2312"/>
              </w:rPr>
              <w:t>1、技术支持：提供全面服务问题技术支持；</w:t>
            </w:r>
          </w:p>
          <w:p>
            <w:pPr>
              <w:pStyle w:val="null3"/>
            </w:pPr>
            <w:r>
              <w:rPr>
                <w:rFonts w:ascii="仿宋_GB2312" w:hAnsi="仿宋_GB2312" w:cs="仿宋_GB2312" w:eastAsia="仿宋_GB2312"/>
              </w:rPr>
              <w:t>2、售后服务：服务商应具有一整套售后服务体系和人员培训机制。为保障系统交付后正常稳定运行，服务商将配备经验丰富的工程师，提供完善的售后服务和人员培训服务：</w:t>
            </w:r>
          </w:p>
          <w:p>
            <w:pPr>
              <w:pStyle w:val="null3"/>
            </w:pPr>
            <w:r>
              <w:rPr>
                <w:rFonts w:ascii="仿宋_GB2312" w:hAnsi="仿宋_GB2312" w:cs="仿宋_GB2312" w:eastAsia="仿宋_GB2312"/>
              </w:rPr>
              <w:t>3、运维期：一年，自验收合格之日起一年内免费维护。</w:t>
            </w:r>
          </w:p>
          <w:p>
            <w:pPr>
              <w:pStyle w:val="null3"/>
            </w:pPr>
            <w:r>
              <w:rPr>
                <w:rFonts w:ascii="仿宋_GB2312" w:hAnsi="仿宋_GB2312" w:cs="仿宋_GB2312" w:eastAsia="仿宋_GB2312"/>
              </w:rPr>
              <w:t>4、二次开发：系统在投入使用过程中，若有超出本合同约定的服务内容，需要进行系统功能扩展、性能提升或其他二次开发需求，乙方承诺提供二次开发支持，按系统开发工作量收取开发费用，具体事宜另行协商。</w:t>
            </w:r>
          </w:p>
          <w:p>
            <w:pPr>
              <w:pStyle w:val="null3"/>
            </w:pPr>
            <w:r>
              <w:rPr>
                <w:rFonts w:ascii="仿宋_GB2312" w:hAnsi="仿宋_GB2312" w:cs="仿宋_GB2312" w:eastAsia="仿宋_GB2312"/>
              </w:rPr>
              <w:t>5、系统运维：在运维期内，乙方将定期对本项目全系统进行定期维护，以保证系统运作的安全、可靠和高效性。每季度对系统运行状况进行一次评估；每季度对系统进行现场巡检，并做好相应的数据备份工作。同时提供系统故障的应急解决方案，安排相应的技术工程师提供系统运维和故障恢复等工作。</w:t>
            </w:r>
          </w:p>
          <w:p>
            <w:pPr>
              <w:pStyle w:val="null3"/>
            </w:pPr>
            <w:r>
              <w:rPr>
                <w:rFonts w:ascii="仿宋_GB2312" w:hAnsi="仿宋_GB2312" w:cs="仿宋_GB2312" w:eastAsia="仿宋_GB2312"/>
              </w:rPr>
              <w:t>6、故障响应：乙方在运维期内接到用户电话后，在2小时内响应，24小时以内解决问题，以保证用户的正常使用。</w:t>
            </w:r>
          </w:p>
          <w:p>
            <w:pPr>
              <w:pStyle w:val="null3"/>
            </w:pPr>
            <w:r>
              <w:rPr>
                <w:rFonts w:ascii="仿宋_GB2312" w:hAnsi="仿宋_GB2312" w:cs="仿宋_GB2312" w:eastAsia="仿宋_GB2312"/>
              </w:rPr>
              <w:t>7、服务方式：乙方提供售后服务方式包括：要求本地化服务、电话、邮件、微信/QQ、现场服务、重大活动远程或现场保障等方式。</w:t>
            </w:r>
          </w:p>
          <w:p>
            <w:pPr>
              <w:pStyle w:val="null3"/>
            </w:pPr>
            <w:r>
              <w:rPr>
                <w:rFonts w:ascii="仿宋_GB2312" w:hAnsi="仿宋_GB2312" w:cs="仿宋_GB2312" w:eastAsia="仿宋_GB2312"/>
              </w:rPr>
              <w:t>8、服务质量保证：符合《中华人民共和国计算机信息系统安全保护条例》、《计算机信息系统安全保护等级划分准则》、《电子信息系统机房设计规范》、《信息系统安全技术国家标准汇编》、《信息技术大数据系统基本要求》、《信息系统安全保障评估框架》及其他相关行业技术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自合同签订之日起90日历日内完成系统建设服务。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西安市鄠邑区医疗保险基金管理中心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在合同服务期内完成约定的全部服务内容，符合现行的国家标准或行业相关的法律法规、规章制度等，未发现违法违规或违反合同条款内容。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2、未按合同要求提供服务或服务质量不能满足技术要求，采购人有权终止合同，并对提供方违约行为进行追究，同时按《中华人民共和国政府采购法》的有关规定进行处罚。 3、双方发生合同争议时，应友好协商解决，不能达成协议时，及时向有关部门要求调解、仲裁或诉讼，发生索赔按现行法律、法规和合同执行。 4、本文件未尽事宜按《中华人民共和国政府采购法》、《中华人民共和国政府采购法实施条例》及有关规定执行。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成交人在领取成交通知书时须提供纸质响应文件正本一份、副本二份用于存档（纸质文件与电子档文件一致）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培训方案.docx 时效保障措施.docx 中小企业声明函 承诺书.docx 报价表 商务条款响应偏离表.docx 服务内容及服务要求响应偏离表.docx 人员配置方案.docx 资格证明文件.docx 服务承诺及合理化建议.docx 响应文件封面 总体方案.docx 《拒绝政府采购领域商业贿赂承诺书》.docx 服务质量保障措施.docx 残疾人福利性单位声明函 标的清单 系统模块设计及兼容性方案.docx 实施方案.docx 响应函 运维方案.docx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除明确允许供应商可以自行编写的外，响应文件是否按照磋商文件给定的格式和要求编制。</w:t>
            </w:r>
          </w:p>
        </w:tc>
        <w:tc>
          <w:tcPr>
            <w:tcW w:type="dxa" w:w="1661"/>
          </w:tcPr>
          <w:p>
            <w:pPr>
              <w:pStyle w:val="null3"/>
            </w:pPr>
            <w:r>
              <w:rPr>
                <w:rFonts w:ascii="仿宋_GB2312" w:hAnsi="仿宋_GB2312" w:cs="仿宋_GB2312" w:eastAsia="仿宋_GB2312"/>
              </w:rPr>
              <w:t>业绩.docx 培训方案.docx 时效保障措施.docx 中小企业声明函 承诺书.docx 商务条款响应偏离表.docx 服务内容及服务要求响应偏离表.docx 人员配置方案.docx 资格证明文件.docx 服务承诺及合理化建议.docx 响应文件封面 总体方案.docx 《拒绝政府采购领域商业贿赂承诺书》.docx 服务质量保障措施.docx 残疾人福利性单位声明函 标的清单 系统模块设计及兼容性方案.docx 实施方案.docx 响应函 运维方案.docx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业绩.docx 培训方案.docx 时效保障措施.docx 中小企业声明函 承诺书.docx 商务条款响应偏离表.docx 服务内容及服务要求响应偏离表.docx 人员配置方案.docx 资格证明文件.docx 服务承诺及合理化建议.docx 响应文件封面 总体方案.docx 《拒绝政府采购领域商业贿赂承诺书》.docx 服务质量保障措施.docx 残疾人福利性单位声明函 标的清单 系统模块设计及兼容性方案.docx 实施方案.docx 响应函 运维方案.docx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业绩.docx 培训方案.docx 时效保障措施.docx 中小企业声明函 承诺书.docx 商务条款响应偏离表.docx 服务内容及服务要求响应偏离表.docx 人员配置方案.docx 资格证明文件.docx 服务承诺及合理化建议.docx 响应文件封面 总体方案.docx 《拒绝政府采购领域商业贿赂承诺书》.docx 服务质量保障措施.docx 残疾人福利性单位声明函 标的清单 系统模块设计及兼容性方案.docx 实施方案.docx 响应函 运维方案.docx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商务实质性响应</w:t>
            </w:r>
          </w:p>
        </w:tc>
        <w:tc>
          <w:tcPr>
            <w:tcW w:type="dxa" w:w="3322"/>
          </w:tcPr>
          <w:p>
            <w:pPr>
              <w:pStyle w:val="null3"/>
            </w:pPr>
            <w:r>
              <w:rPr>
                <w:rFonts w:ascii="仿宋_GB2312" w:hAnsi="仿宋_GB2312" w:cs="仿宋_GB2312" w:eastAsia="仿宋_GB2312"/>
              </w:rPr>
              <w:t>是否对磋商文件商务要求作出明确且实质性响应。</w:t>
            </w:r>
          </w:p>
        </w:tc>
        <w:tc>
          <w:tcPr>
            <w:tcW w:type="dxa" w:w="1661"/>
          </w:tcPr>
          <w:p>
            <w:pPr>
              <w:pStyle w:val="null3"/>
            </w:pPr>
            <w:r>
              <w:rPr>
                <w:rFonts w:ascii="仿宋_GB2312" w:hAnsi="仿宋_GB2312" w:cs="仿宋_GB2312" w:eastAsia="仿宋_GB2312"/>
              </w:rPr>
              <w:t>业绩.docx 培训方案.docx 时效保障措施.docx 中小企业声明函 承诺书.docx 商务条款响应偏离表.docx 服务内容及服务要求响应偏离表.docx 人员配置方案.docx 资格证明文件.docx 服务承诺及合理化建议.docx 响应文件封面 总体方案.docx 《拒绝政府采购领域商业贿赂承诺书》.docx 服务质量保障措施.docx 残疾人福利性单位声明函 标的清单 系统模块设计及兼容性方案.docx 实施方案.docx 响应函 运维方案.docx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技术实质性响应</w:t>
            </w:r>
          </w:p>
        </w:tc>
        <w:tc>
          <w:tcPr>
            <w:tcW w:type="dxa" w:w="3322"/>
          </w:tcPr>
          <w:p>
            <w:pPr>
              <w:pStyle w:val="null3"/>
            </w:pPr>
            <w:r>
              <w:rPr>
                <w:rFonts w:ascii="仿宋_GB2312" w:hAnsi="仿宋_GB2312" w:cs="仿宋_GB2312" w:eastAsia="仿宋_GB2312"/>
              </w:rPr>
              <w:t>是否对磋商文件技术要求作出明确响应，对不得偏离的要求未作出实质性响应。</w:t>
            </w:r>
          </w:p>
        </w:tc>
        <w:tc>
          <w:tcPr>
            <w:tcW w:type="dxa" w:w="1661"/>
          </w:tcPr>
          <w:p>
            <w:pPr>
              <w:pStyle w:val="null3"/>
            </w:pPr>
            <w:r>
              <w:rPr>
                <w:rFonts w:ascii="仿宋_GB2312" w:hAnsi="仿宋_GB2312" w:cs="仿宋_GB2312" w:eastAsia="仿宋_GB2312"/>
              </w:rPr>
              <w:t>业绩.docx 培训方案.docx 时效保障措施.docx 中小企业声明函 承诺书.docx 商务条款响应偏离表.docx 服务内容及服务要求响应偏离表.docx 人员配置方案.docx 资格证明文件.docx 服务承诺及合理化建议.docx 响应文件封面 总体方案.docx 《拒绝政府采购领域商业贿赂承诺书》.docx 服务质量保障措施.docx 残疾人福利性单位声明函 标的清单 系统模块设计及兼容性方案.docx 实施方案.docx 响应函 运维方案.docx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响应文件无采购人不能接受的附加条件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业绩.docx 培训方案.docx 时效保障措施.docx 中小企业声明函 承诺书.docx 商务条款响应偏离表.docx 服务内容及服务要求响应偏离表.docx 人员配置方案.docx 资格证明文件.docx 服务承诺及合理化建议.docx 响应文件封面 总体方案.docx 《拒绝政府采购领域商业贿赂承诺书》.docx 服务质量保障措施.docx 残疾人福利性单位声明函 标的清单 系统模块设计及兼容性方案.docx 实施方案.docx 响应函 运维方案.docx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业绩.docx 培训方案.docx 时效保障措施.docx 中小企业声明函 承诺书.docx 商务条款响应偏离表.docx 服务内容及服务要求响应偏离表.docx 人员配置方案.docx 资格证明文件.docx 服务承诺及合理化建议.docx 响应文件封面 总体方案.docx 《拒绝政府采购领域商业贿赂承诺书》.docx 服务质量保障措施.docx 残疾人福利性单位声明函 标的清单 系统模块设计及兼容性方案.docx 实施方案.docx 响应函 运维方案.docx 供应商认为有必要补充说明的事宜.docx 监狱企业的证明文件 《供应商参与政府采购活动的承诺函》.docx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制定总体服务方案，包括但不限于：对各基金使用政策、数据分级治理、医保基金线索分析平台、文件库管理、规则库管理、数据处理、业务模块等内容的总体分析，工作部署合理的保证措施，专业能力保障措施，工作的规范性措施等。 ①方案内容清晰准确、措施完整详细具体、充分满足用户实际需求的计10分； ②方案内容完整，措施内容全面，但部分内容不具体不明确计8分； ③方案有1项缺项或内容及措施总体不详细的计6分； ④内容有2项缺项或方案内容混乱无重点的计4分； ⑤内容有3项（含）以上缺项的计2分； ⑥整体只有粗略描述、无实质性内容的计1分； ⑦未提供不计分。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系统模块设计及兼容性方案</w:t>
            </w:r>
          </w:p>
        </w:tc>
        <w:tc>
          <w:tcPr>
            <w:tcW w:type="dxa" w:w="2492"/>
          </w:tcPr>
          <w:p>
            <w:pPr>
              <w:pStyle w:val="null3"/>
            </w:pPr>
            <w:r>
              <w:rPr>
                <w:rFonts w:ascii="仿宋_GB2312" w:hAnsi="仿宋_GB2312" w:cs="仿宋_GB2312" w:eastAsia="仿宋_GB2312"/>
              </w:rPr>
              <w:t>根据投标人提供的系统各项模块的架构设计、搭建配置、达到先进、安全实用的要求，确保整体系统性能很好实现，系统整体的兼容性等方面进行赋分。 ①方案内容清晰准确、完整详细具体、充分满足用户实际需求的计10分； ②方案内容完整、全面，但部分内容不具体不明确计8分； ③内容有缺项或内容总体不详细的计4分； ④整体只有粗略描述、无实质性内容的计1分； ⑤未提供不计分。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系统模块设计及兼容性方案.docx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投标人制定科学、合理可行的实施方案，保障项目实施的质量及效率。 ①方案内容清晰准确、完整详细具体、充分满足用户实际需求的计10分； ②方案内容完整、全面，但部分内容不具体不明确计8分； ③内容有缺项或内容总体不详细的计4分； ④整体只有粗略描述、无实质性内容的计1分； ⑤未提供不计分。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投标人能够保证定期对系统进行升级、维护、对平台进行优化，系统出现故障及时处理的保障措施，能够保证系统的正常运行； ①系统运维方案及措施内容全面详细，有具体的实施办法的计8分； ②方案内容基本完整，但保障措施部分内容不具体不明确计6分； ③方案内容有缺项或内容总体不详细的计4分； ④整体内容只有粗略描述、无实质性内容的计1分；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投标人能够保障系统安装调试后可支持与陕西省、市级平台进行无缝对接，保证数据信息的及时性与稳定性的保障措施、有详细全面的服务质量标准、服务质量管理制度、质量保证承诺及措施、考核制度等。 ①内容详细具体，思路明晰合理、措施完整、实用的计8分； ②内容完整，但措施内容部分不清晰的计6分； ③内容有缺项或措施内容无重点的计4分； ④整体内容只有粗略描述、无实质性内容的计1分；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投标人提供完整的培训方案，能够针对不同的系统模块使用指定不同的培训课程内容和计划； ①培训内容详实，进度安排合理，具有较强的可执行性计8分； ②培训方案全面，提供培训大纲和培训内容部分不详细的得6分； ③内容有缺项或内容无重点的计4分； ④整体只有粗略描述、无实质性内容的计1分；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结合本项目要求，提供确保项目能按时按质完成的保障措施，时间进度等。 ①内容安排合理、可行，完全满足采购要求计6分； ②内容部分描述不具体，或措施无实际操作方法的计4分； ③整体只有粗略描述、无实质性内容的计1分； ④未提供不得分。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时效保障措施.docx</w:t>
            </w:r>
          </w:p>
        </w:tc>
      </w:tr>
      <w:tr>
        <w:tc>
          <w:tcPr>
            <w:tcW w:type="dxa" w:w="831"/>
            <w:vMerge/>
          </w:tcPr>
          <w:p/>
        </w:tc>
        <w:tc>
          <w:tcPr>
            <w:tcW w:type="dxa" w:w="1661"/>
          </w:tcPr>
          <w:p>
            <w:pPr>
              <w:pStyle w:val="null3"/>
            </w:pPr>
            <w:r>
              <w:rPr>
                <w:rFonts w:ascii="仿宋_GB2312" w:hAnsi="仿宋_GB2312" w:cs="仿宋_GB2312" w:eastAsia="仿宋_GB2312"/>
              </w:rPr>
              <w:t>人员配置 方案</w:t>
            </w:r>
          </w:p>
        </w:tc>
        <w:tc>
          <w:tcPr>
            <w:tcW w:type="dxa" w:w="2492"/>
          </w:tcPr>
          <w:p>
            <w:pPr>
              <w:pStyle w:val="null3"/>
            </w:pPr>
            <w:r>
              <w:rPr>
                <w:rFonts w:ascii="仿宋_GB2312" w:hAnsi="仿宋_GB2312" w:cs="仿宋_GB2312" w:eastAsia="仿宋_GB2312"/>
              </w:rPr>
              <w:t>针对本项目编制详细人员配置方案，包括服务人员的基本情况、培训情况、持证情况、岗位设置情况等。 ①人员配置合理，专业水平高，岗位分工明确，能够全方位满足项目需求计10分； ②人员配置合理，专业水平基本满足项目需求，但方案描述不具体、不详细的，计8分； ③内容有缺项或人数配置合理，但专业性、岗位分工欠佳的，计4分； ④人员配置不合理或只有粗略描述、无实质性内容的计1分； ⑤不提供的不计分。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投标人提供详细的服务承诺（至少应包含以下内容：本地化服务、服务计划、服务响应时间、售后人员配置等）及合理化建议。 ①内容明确合理、科学可行性且完全有利于采购项目顺利实施的得10分； ②内容有部分阐述不具体、合理化建议不能完全有利于项目实施的计8分； ③内容有缺项或承诺及建议内容与项目不匹配的计4分； ④整体只有粗略描述、无实质性内容的计1分； ⑤未提供不计分。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投标人须提供自2020年 1月 1日至今承担过的类似项目业绩，每个业绩得2分，最高得 10 分。（注：以合同签订时间为准，完整合同复印件并加盖投标人公章）。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价格分采用低价优先法计算，即满足磋商文件要求且最后报价最低的投标人的价格为磋商基准价，其价格分为满分。其他投标人的价格分统一按照下列公式计算： 磋商报价得分=（磋商基准价/最终磋商报价）×价格权值（即10%）×100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详见附件：总体方案.docx</w:t>
      </w:r>
    </w:p>
    <w:p>
      <w:pPr>
        <w:pStyle w:val="null3"/>
        <w:ind w:firstLine="960"/>
      </w:pPr>
      <w:r>
        <w:rPr>
          <w:rFonts w:ascii="仿宋_GB2312" w:hAnsi="仿宋_GB2312" w:cs="仿宋_GB2312" w:eastAsia="仿宋_GB2312"/>
        </w:rPr>
        <w:t>详见附件：系统模块设计及兼容性方案.docx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详见附件：运维方案.docx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详见附件：时效保障措施.docx</w:t>
      </w:r>
    </w:p>
    <w:p>
      <w:pPr>
        <w:pStyle w:val="null3"/>
        <w:ind w:firstLine="960"/>
      </w:pPr>
      <w:r>
        <w:rPr>
          <w:rFonts w:ascii="仿宋_GB2312" w:hAnsi="仿宋_GB2312" w:cs="仿宋_GB2312" w:eastAsia="仿宋_GB2312"/>
        </w:rPr>
        <w:t>详见附件：人员配置方案.docx</w:t>
      </w:r>
    </w:p>
    <w:p>
      <w:pPr>
        <w:pStyle w:val="null3"/>
        <w:ind w:firstLine="960"/>
      </w:pPr>
      <w:r>
        <w:rPr>
          <w:rFonts w:ascii="仿宋_GB2312" w:hAnsi="仿宋_GB2312" w:cs="仿宋_GB2312" w:eastAsia="仿宋_GB2312"/>
        </w:rPr>
        <w:t>详见附件：服务承诺及合理化建议.docx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