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版本号：SXZM-CS-2025034.20250901001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西安市鄠邑区2025年供应计划商住用地宗地测绘项目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SXZM-CS-2025034.</w:t>
      </w:r>
      <w:r>
        <w:br/>
      </w:r>
      <w:r>
        <w:br/>
      </w:r>
      <w:r>
        <w:br/>
      </w:r>
    </w:p>
    <w:p>
      <w:pPr>
        <w:pStyle w:val="null3"/>
        <w:jc w:val="center"/>
        <w:outlineLvl w:val="2"/>
      </w:pPr>
      <w:r>
        <w:rPr>
          <w:rFonts w:ascii="仿宋_GB2312" w:hAnsi="仿宋_GB2312" w:cs="仿宋_GB2312" w:eastAsia="仿宋_GB2312"/>
          <w:sz w:val="28"/>
          <w:b/>
        </w:rPr>
        <w:t>西安市自然资源和规划局鄠邑分局</w:t>
      </w:r>
    </w:p>
    <w:p>
      <w:pPr>
        <w:pStyle w:val="null3"/>
        <w:jc w:val="center"/>
        <w:outlineLvl w:val="2"/>
      </w:pPr>
      <w:r>
        <w:rPr>
          <w:rFonts w:ascii="仿宋_GB2312" w:hAnsi="仿宋_GB2312" w:cs="仿宋_GB2312" w:eastAsia="仿宋_GB2312"/>
          <w:sz w:val="28"/>
          <w:b/>
        </w:rPr>
        <w:t>陕西正明项目管理有限公司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陕西正明项目管理有限公司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西安市自然资源和规划局鄠邑分局</w:t>
      </w:r>
      <w:r>
        <w:rPr>
          <w:rFonts w:ascii="仿宋_GB2312" w:hAnsi="仿宋_GB2312" w:cs="仿宋_GB2312" w:eastAsia="仿宋_GB2312"/>
        </w:rPr>
        <w:t>委托，拟对</w:t>
      </w:r>
      <w:r>
        <w:rPr>
          <w:rFonts w:ascii="仿宋_GB2312" w:hAnsi="仿宋_GB2312" w:cs="仿宋_GB2312" w:eastAsia="仿宋_GB2312"/>
        </w:rPr>
        <w:t>西安市鄠邑区2025年供应计划商住用地宗地测绘项目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SXZM-CS-2025034.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西安市鄠邑区2025年供应计划商住用地宗地测绘项目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做好西安市鄠邑区土地管理和建设管理工作，拟选定一家单位为西安市鄠邑区辖区范围内12宗地块进行测绘并提供相关服务，本次采购年度上限价为98.3万元。年度供应计划外的成熟项目，可走提前批使用或替换年度供应计划内同等规模项目指标，完成评估事项。最终按实际发生费用，据实结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采购包1（西安市鄠邑区2025年供应计划商住用地宗地测绘项目）：属于专门面向中小企业采购。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经具有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3、社保缴纳证明：提供首次响应文件递交截止时间前6个月内任意时段的缴纳证明。依法不需要交纳社会保障资金的供应商应提供相关文件证明；</w:t>
      </w:r>
    </w:p>
    <w:p>
      <w:pPr>
        <w:pStyle w:val="null3"/>
      </w:pPr>
      <w:r>
        <w:rPr>
          <w:rFonts w:ascii="仿宋_GB2312" w:hAnsi="仿宋_GB2312" w:cs="仿宋_GB2312" w:eastAsia="仿宋_GB2312"/>
        </w:rPr>
        <w:t>4、税收缴纳证明：提供首次响应文件递交截止时间前6个月任意时段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5、无重大违法记录书面声明：出具参加本次政府采购活动前三年内在经营活动中没有重大违法记录的书面声明；</w:t>
      </w:r>
    </w:p>
    <w:p>
      <w:pPr>
        <w:pStyle w:val="null3"/>
      </w:pPr>
      <w:r>
        <w:rPr>
          <w:rFonts w:ascii="仿宋_GB2312" w:hAnsi="仿宋_GB2312" w:cs="仿宋_GB2312" w:eastAsia="仿宋_GB2312"/>
        </w:rPr>
        <w:t>6、履行合同承诺函：提供具有履行合同所必需的设备和专业技术能力的承诺。</w:t>
      </w:r>
    </w:p>
    <w:p>
      <w:pPr>
        <w:pStyle w:val="null3"/>
      </w:pPr>
      <w:r>
        <w:rPr>
          <w:rFonts w:ascii="仿宋_GB2312" w:hAnsi="仿宋_GB2312" w:cs="仿宋_GB2312" w:eastAsia="仿宋_GB2312"/>
        </w:rPr>
        <w:t>7、落实政府采购政策需满足的资格要求：本项目专门面向中小企业采购，供应商应为中小微企业或监狱企业或残疾人福利性单位。 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8、法定代表人身份证明/法定代表人授权委托书：法定代表人身份证明/法定代表人授权委托书：法定代表人直接参加磋商的，须提供法定代表人身份证明及其身份证电子件或扫描件；法定代表人授权他人参加磋商的，须提供法定代表人授权委托书（附法定代表人、被授权人身份证电子件或扫描件）；</w:t>
      </w:r>
    </w:p>
    <w:p>
      <w:pPr>
        <w:pStyle w:val="null3"/>
      </w:pPr>
      <w:r>
        <w:rPr>
          <w:rFonts w:ascii="仿宋_GB2312" w:hAnsi="仿宋_GB2312" w:cs="仿宋_GB2312" w:eastAsia="仿宋_GB2312"/>
        </w:rPr>
        <w:t>9、资质要求：供应商具有测绘主管部门颁发的乙级及以上测绘资质（专业范围包含界线与不动产测绘）；</w:t>
      </w:r>
    </w:p>
    <w:p>
      <w:pPr>
        <w:pStyle w:val="null3"/>
      </w:pPr>
      <w:r>
        <w:rPr>
          <w:rFonts w:ascii="仿宋_GB2312" w:hAnsi="仿宋_GB2312" w:cs="仿宋_GB2312" w:eastAsia="仿宋_GB2312"/>
        </w:rPr>
        <w:t>10、信用记录：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12、供应商书面声明：供应商未为本项目提供整体设计、规范编制或者项目管理、监理、检测等服务的书面声明；</w:t>
      </w:r>
    </w:p>
    <w:p>
      <w:pPr>
        <w:pStyle w:val="null3"/>
      </w:pPr>
      <w:r>
        <w:rPr>
          <w:rFonts w:ascii="仿宋_GB2312" w:hAnsi="仿宋_GB2312" w:cs="仿宋_GB2312" w:eastAsia="仿宋_GB2312"/>
        </w:rPr>
        <w:t>13、供应商参与磋商的承诺函：符合竞争性磋商文件要求。</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西安市自然资源和规划局鄠邑分局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陕西省西安市户县兆丰西路3号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029-84820116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陕西省西安市雁塔区陕西省西安市雁塔区科技二路71号竹园天寰国际1807室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刘晨星、樊睿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029-88811335、15635910217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标准收取。 招标代理服务费账户信息： 户名：陕西正明项目管理有限公司 开户行：中国民生银行股份有限公司枫林绿洲支行 账号：170455461 招标代理服务费按约定由成交供应商支付，成交供应商在领取成交通知书前，须向采购代理机构支付招标代理服务费。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西安市自然资源和规划局鄠邑分局</w:t>
      </w:r>
      <w:r>
        <w:rPr>
          <w:rFonts w:ascii="仿宋_GB2312" w:hAnsi="仿宋_GB2312" w:cs="仿宋_GB2312" w:eastAsia="仿宋_GB2312"/>
        </w:rPr>
        <w:t>和</w:t>
      </w:r>
      <w:r>
        <w:rPr>
          <w:rFonts w:ascii="仿宋_GB2312" w:hAnsi="仿宋_GB2312" w:cs="仿宋_GB2312" w:eastAsia="仿宋_GB2312"/>
        </w:rPr>
        <w:t>陕西正明项目管理有限公司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西安市自然资源和规划局鄠邑分局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西安市自然资源和规划局鄠邑分局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调查报告通过专家组及相关部门评审通过。</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联系人：刘晨星、樊睿</w:t>
      </w:r>
    </w:p>
    <w:p>
      <w:pPr>
        <w:pStyle w:val="null3"/>
      </w:pPr>
      <w:r>
        <w:rPr>
          <w:rFonts w:ascii="仿宋_GB2312" w:hAnsi="仿宋_GB2312" w:cs="仿宋_GB2312" w:eastAsia="仿宋_GB2312"/>
        </w:rPr>
        <w:t>联系电话：029-88811335、15635910217</w:t>
      </w:r>
    </w:p>
    <w:p>
      <w:pPr>
        <w:pStyle w:val="null3"/>
      </w:pPr>
      <w:r>
        <w:rPr>
          <w:rFonts w:ascii="仿宋_GB2312" w:hAnsi="仿宋_GB2312" w:cs="仿宋_GB2312" w:eastAsia="仿宋_GB2312"/>
        </w:rPr>
        <w:t>地址：陕西省西安市雁塔区科技二路71号竹园天寰国际1807室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为进一步做好西安市鄠邑区土地管理和建设管理工作，拟选定一家单位为西安市鄠邑区辖区范围内</w:t>
      </w:r>
      <w:r>
        <w:rPr>
          <w:rFonts w:ascii="仿宋_GB2312" w:hAnsi="仿宋_GB2312" w:cs="仿宋_GB2312" w:eastAsia="仿宋_GB2312"/>
        </w:rPr>
        <w:t>12</w:t>
      </w:r>
      <w:r>
        <w:rPr>
          <w:rFonts w:ascii="仿宋_GB2312" w:hAnsi="仿宋_GB2312" w:cs="仿宋_GB2312" w:eastAsia="仿宋_GB2312"/>
        </w:rPr>
        <w:t>宗地块进行测绘并提供相关服务，本次采购年度上限价为</w:t>
      </w:r>
      <w:r>
        <w:rPr>
          <w:rFonts w:ascii="仿宋_GB2312" w:hAnsi="仿宋_GB2312" w:cs="仿宋_GB2312" w:eastAsia="仿宋_GB2312"/>
        </w:rPr>
        <w:t>98.3</w:t>
      </w:r>
      <w:r>
        <w:rPr>
          <w:rFonts w:ascii="仿宋_GB2312" w:hAnsi="仿宋_GB2312" w:cs="仿宋_GB2312" w:eastAsia="仿宋_GB2312"/>
        </w:rPr>
        <w:t>万元。年度供应计划外的成熟项目，可走提前批使用或替换年度供应计划内同等规模项目指标，完成评估事项。最终按实际发生费用，据实结算。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983,000.00</w:t>
      </w:r>
    </w:p>
    <w:p>
      <w:pPr>
        <w:pStyle w:val="null3"/>
      </w:pPr>
      <w:r>
        <w:rPr>
          <w:rFonts w:ascii="仿宋_GB2312" w:hAnsi="仿宋_GB2312" w:cs="仿宋_GB2312" w:eastAsia="仿宋_GB2312"/>
        </w:rPr>
        <w:t>采购包最高限价（元）: 983,000.00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西安市鄠邑区2025年供应计划商住用地宗地测绘项目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标的名称：西安市鄠邑区2025年供应计划商住用地宗地测绘项目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w:t>
            </w:r>
            <w:r>
              <w:rPr>
                <w:rFonts w:ascii="仿宋_GB2312" w:hAnsi="仿宋_GB2312" w:cs="仿宋_GB2312" w:eastAsia="仿宋_GB2312"/>
                <w:sz w:val="21"/>
                <w:b/>
              </w:rPr>
              <w:t>、服务内容</w:t>
            </w:r>
          </w:p>
          <w:p>
            <w:pPr>
              <w:pStyle w:val="null3"/>
              <w:ind w:firstLine="420"/>
              <w:jc w:val="both"/>
            </w:pPr>
            <w:r>
              <w:rPr>
                <w:rFonts w:ascii="仿宋_GB2312" w:hAnsi="仿宋_GB2312" w:cs="仿宋_GB2312" w:eastAsia="仿宋_GB2312"/>
                <w:sz w:val="21"/>
              </w:rPr>
              <w:t>在西安市鄠邑区辖区范围内约12宗地块进行测绘及相关服务，主要包括：无人机航空摄影、位置示意图、实测成果、宗地图、地形图、界址点放样、不动产权籍调查等。</w:t>
            </w:r>
          </w:p>
          <w:p>
            <w:pPr>
              <w:pStyle w:val="null3"/>
              <w:ind w:firstLine="420"/>
              <w:jc w:val="both"/>
            </w:pPr>
            <w:r>
              <w:rPr>
                <w:rFonts w:ascii="仿宋_GB2312" w:hAnsi="仿宋_GB2312" w:cs="仿宋_GB2312" w:eastAsia="仿宋_GB2312"/>
                <w:sz w:val="21"/>
              </w:rPr>
              <w:t>（一）工作区域</w:t>
            </w:r>
          </w:p>
          <w:p>
            <w:pPr>
              <w:pStyle w:val="null3"/>
              <w:ind w:firstLine="420"/>
              <w:jc w:val="both"/>
            </w:pPr>
            <w:r>
              <w:rPr>
                <w:rFonts w:ascii="仿宋_GB2312" w:hAnsi="仿宋_GB2312" w:cs="仿宋_GB2312" w:eastAsia="仿宋_GB2312"/>
                <w:sz w:val="21"/>
              </w:rPr>
              <w:t>甲方指定地点</w:t>
            </w:r>
          </w:p>
          <w:p>
            <w:pPr>
              <w:pStyle w:val="null3"/>
              <w:ind w:firstLine="420"/>
              <w:jc w:val="both"/>
            </w:pPr>
            <w:r>
              <w:rPr>
                <w:rFonts w:ascii="仿宋_GB2312" w:hAnsi="仿宋_GB2312" w:cs="仿宋_GB2312" w:eastAsia="仿宋_GB2312"/>
                <w:sz w:val="21"/>
              </w:rPr>
              <w:t>（二）技术要求</w:t>
            </w:r>
          </w:p>
          <w:p>
            <w:pPr>
              <w:pStyle w:val="null3"/>
              <w:ind w:firstLine="420"/>
              <w:jc w:val="both"/>
            </w:pPr>
            <w:r>
              <w:rPr>
                <w:rFonts w:ascii="仿宋_GB2312" w:hAnsi="仿宋_GB2312" w:cs="仿宋_GB2312" w:eastAsia="仿宋_GB2312"/>
                <w:sz w:val="21"/>
              </w:rPr>
              <w:t>（1）《城市测量规范》CJJ/T 8-2011；</w:t>
            </w:r>
          </w:p>
          <w:p>
            <w:pPr>
              <w:pStyle w:val="null3"/>
              <w:ind w:firstLine="420"/>
              <w:jc w:val="both"/>
            </w:pPr>
            <w:r>
              <w:rPr>
                <w:rFonts w:ascii="仿宋_GB2312" w:hAnsi="仿宋_GB2312" w:cs="仿宋_GB2312" w:eastAsia="仿宋_GB2312"/>
                <w:sz w:val="21"/>
              </w:rPr>
              <w:t>（2）《工程测量标准》GB 50026-2020；</w:t>
            </w:r>
          </w:p>
          <w:p>
            <w:pPr>
              <w:pStyle w:val="null3"/>
              <w:ind w:firstLine="420"/>
              <w:jc w:val="both"/>
            </w:pPr>
            <w:r>
              <w:rPr>
                <w:rFonts w:ascii="仿宋_GB2312" w:hAnsi="仿宋_GB2312" w:cs="仿宋_GB2312" w:eastAsia="仿宋_GB2312"/>
                <w:sz w:val="21"/>
              </w:rPr>
              <w:t>（3）《卫星定位城市测量技术规范》CJJ/T 73-2019；</w:t>
            </w:r>
          </w:p>
          <w:p>
            <w:pPr>
              <w:pStyle w:val="null3"/>
              <w:ind w:firstLine="420"/>
              <w:jc w:val="both"/>
            </w:pPr>
            <w:r>
              <w:rPr>
                <w:rFonts w:ascii="仿宋_GB2312" w:hAnsi="仿宋_GB2312" w:cs="仿宋_GB2312" w:eastAsia="仿宋_GB2312"/>
                <w:sz w:val="21"/>
              </w:rPr>
              <w:t>（4）《全球定位系统实时动态测量（RTK）技术规范》CH/T 2009-2010；</w:t>
            </w:r>
          </w:p>
          <w:p>
            <w:pPr>
              <w:pStyle w:val="null3"/>
              <w:ind w:firstLine="420"/>
              <w:jc w:val="both"/>
            </w:pPr>
            <w:r>
              <w:rPr>
                <w:rFonts w:ascii="仿宋_GB2312" w:hAnsi="仿宋_GB2312" w:cs="仿宋_GB2312" w:eastAsia="仿宋_GB2312"/>
                <w:sz w:val="21"/>
              </w:rPr>
              <w:t>（5）《国家三、四等水准测量规范》GB 12898-2009；</w:t>
            </w:r>
          </w:p>
          <w:p>
            <w:pPr>
              <w:pStyle w:val="null3"/>
              <w:ind w:firstLine="420"/>
              <w:jc w:val="both"/>
            </w:pPr>
            <w:r>
              <w:rPr>
                <w:rFonts w:ascii="仿宋_GB2312" w:hAnsi="仿宋_GB2312" w:cs="仿宋_GB2312" w:eastAsia="仿宋_GB2312"/>
                <w:sz w:val="21"/>
              </w:rPr>
              <w:t>（6）《1：500 1：1000 1：2000 外业数字测图技术规程》GB/T 14912-2014；</w:t>
            </w:r>
          </w:p>
          <w:p>
            <w:pPr>
              <w:pStyle w:val="null3"/>
              <w:ind w:firstLine="420"/>
              <w:jc w:val="both"/>
            </w:pPr>
            <w:r>
              <w:rPr>
                <w:rFonts w:ascii="仿宋_GB2312" w:hAnsi="仿宋_GB2312" w:cs="仿宋_GB2312" w:eastAsia="仿宋_GB2312"/>
                <w:sz w:val="21"/>
              </w:rPr>
              <w:t>（7）《1：500 1：1000 1：2000 地形图数字化规范》GB/T 17160-2008；</w:t>
            </w:r>
          </w:p>
          <w:p>
            <w:pPr>
              <w:pStyle w:val="null3"/>
              <w:ind w:firstLine="420"/>
              <w:jc w:val="both"/>
            </w:pPr>
            <w:r>
              <w:rPr>
                <w:rFonts w:ascii="仿宋_GB2312" w:hAnsi="仿宋_GB2312" w:cs="仿宋_GB2312" w:eastAsia="仿宋_GB2312"/>
                <w:sz w:val="21"/>
              </w:rPr>
              <w:t>（8）《1：500 1：1000 1：2000 地形图图式》GB/T 20257.1-2017；</w:t>
            </w:r>
          </w:p>
          <w:p>
            <w:pPr>
              <w:pStyle w:val="null3"/>
              <w:ind w:firstLine="420"/>
              <w:jc w:val="both"/>
            </w:pPr>
            <w:r>
              <w:rPr>
                <w:rFonts w:ascii="仿宋_GB2312" w:hAnsi="仿宋_GB2312" w:cs="仿宋_GB2312" w:eastAsia="仿宋_GB2312"/>
                <w:sz w:val="21"/>
              </w:rPr>
              <w:t>（9）《测量成果质量检查与验收》GB/T 24356-2023；</w:t>
            </w:r>
          </w:p>
          <w:p>
            <w:pPr>
              <w:pStyle w:val="null3"/>
              <w:ind w:firstLine="420"/>
              <w:jc w:val="both"/>
            </w:pPr>
            <w:r>
              <w:rPr>
                <w:rFonts w:ascii="仿宋_GB2312" w:hAnsi="仿宋_GB2312" w:cs="仿宋_GB2312" w:eastAsia="仿宋_GB2312"/>
                <w:sz w:val="21"/>
              </w:rPr>
              <w:t>（10）《数字测量成果质量检查与验收》GB/T 18316-2008；</w:t>
            </w:r>
          </w:p>
          <w:p>
            <w:pPr>
              <w:pStyle w:val="null3"/>
              <w:ind w:firstLine="420"/>
              <w:jc w:val="both"/>
            </w:pPr>
            <w:r>
              <w:rPr>
                <w:rFonts w:ascii="仿宋_GB2312" w:hAnsi="仿宋_GB2312" w:cs="仿宋_GB2312" w:eastAsia="仿宋_GB2312"/>
                <w:sz w:val="21"/>
              </w:rPr>
              <w:t>（11）地籍调查规程(GB/T 42547-2023)；</w:t>
            </w:r>
          </w:p>
          <w:p>
            <w:pPr>
              <w:pStyle w:val="null3"/>
              <w:ind w:firstLine="420"/>
              <w:jc w:val="both"/>
            </w:pPr>
            <w:r>
              <w:rPr>
                <w:rFonts w:ascii="仿宋_GB2312" w:hAnsi="仿宋_GB2312" w:cs="仿宋_GB2312" w:eastAsia="仿宋_GB2312"/>
                <w:sz w:val="21"/>
              </w:rPr>
              <w:t>（12）不动产登记暂行条例(国令第656号)；</w:t>
            </w:r>
          </w:p>
          <w:p>
            <w:pPr>
              <w:pStyle w:val="null3"/>
              <w:ind w:firstLine="420"/>
              <w:jc w:val="both"/>
            </w:pPr>
            <w:r>
              <w:rPr>
                <w:rFonts w:ascii="仿宋_GB2312" w:hAnsi="仿宋_GB2312" w:cs="仿宋_GB2312" w:eastAsia="仿宋_GB2312"/>
                <w:sz w:val="21"/>
              </w:rPr>
              <w:t>（13）不动产登记暂行条例实施细则；</w:t>
            </w:r>
          </w:p>
          <w:p>
            <w:pPr>
              <w:pStyle w:val="null3"/>
              <w:ind w:firstLine="420"/>
              <w:jc w:val="both"/>
            </w:pPr>
            <w:r>
              <w:rPr>
                <w:rFonts w:ascii="仿宋_GB2312" w:hAnsi="仿宋_GB2312" w:cs="仿宋_GB2312" w:eastAsia="仿宋_GB2312"/>
                <w:sz w:val="21"/>
              </w:rPr>
              <w:t>（14）不动产登记簿、不动产权籍调查技术方案；</w:t>
            </w:r>
          </w:p>
          <w:p>
            <w:pPr>
              <w:pStyle w:val="null3"/>
              <w:ind w:firstLine="420"/>
              <w:jc w:val="both"/>
            </w:pPr>
            <w:r>
              <w:rPr>
                <w:rFonts w:ascii="仿宋_GB2312" w:hAnsi="仿宋_GB2312" w:cs="仿宋_GB2312" w:eastAsia="仿宋_GB2312"/>
                <w:sz w:val="21"/>
              </w:rPr>
              <w:t>（15）《近景摄影测量规范》GB/T 12979-2024；</w:t>
            </w:r>
          </w:p>
          <w:p>
            <w:pPr>
              <w:pStyle w:val="null3"/>
              <w:ind w:firstLine="420"/>
              <w:jc w:val="both"/>
            </w:pPr>
            <w:r>
              <w:rPr>
                <w:rFonts w:ascii="仿宋_GB2312" w:hAnsi="仿宋_GB2312" w:cs="仿宋_GB2312" w:eastAsia="仿宋_GB2312"/>
                <w:sz w:val="21"/>
              </w:rPr>
              <w:t>（16）《1:500 1:1000 1:2000地形图数字航空摄影测量测图规范》GB/T 15967-2024；</w:t>
            </w:r>
          </w:p>
          <w:p>
            <w:pPr>
              <w:pStyle w:val="null3"/>
              <w:ind w:firstLine="420"/>
              <w:jc w:val="both"/>
            </w:pPr>
            <w:r>
              <w:rPr>
                <w:rFonts w:ascii="仿宋_GB2312" w:hAnsi="仿宋_GB2312" w:cs="仿宋_GB2312" w:eastAsia="仿宋_GB2312"/>
                <w:sz w:val="21"/>
              </w:rPr>
              <w:t>（17）《低空数字航空摄影规范》（CH/Z 3005-2010）；</w:t>
            </w:r>
          </w:p>
          <w:p>
            <w:pPr>
              <w:pStyle w:val="null3"/>
              <w:ind w:firstLine="420"/>
              <w:jc w:val="both"/>
            </w:pPr>
            <w:r>
              <w:rPr>
                <w:rFonts w:ascii="仿宋_GB2312" w:hAnsi="仿宋_GB2312" w:cs="仿宋_GB2312" w:eastAsia="仿宋_GB2312"/>
                <w:sz w:val="21"/>
              </w:rPr>
              <w:t>（18）《低空数字航空摄影测量内业规范》（CH/Z 3003—2010）；</w:t>
            </w:r>
          </w:p>
          <w:p>
            <w:pPr>
              <w:pStyle w:val="null3"/>
              <w:ind w:firstLine="420"/>
              <w:jc w:val="both"/>
            </w:pPr>
            <w:r>
              <w:rPr>
                <w:rFonts w:ascii="仿宋_GB2312" w:hAnsi="仿宋_GB2312" w:cs="仿宋_GB2312" w:eastAsia="仿宋_GB2312"/>
                <w:sz w:val="21"/>
              </w:rPr>
              <w:t>（19）《低空数字航空摄影测量外业规范》（CH/Z 3004—2010）；</w:t>
            </w:r>
          </w:p>
          <w:p>
            <w:pPr>
              <w:pStyle w:val="null3"/>
              <w:ind w:firstLine="420"/>
              <w:jc w:val="both"/>
            </w:pPr>
            <w:r>
              <w:rPr>
                <w:rFonts w:ascii="仿宋_GB2312" w:hAnsi="仿宋_GB2312" w:cs="仿宋_GB2312" w:eastAsia="仿宋_GB2312"/>
                <w:sz w:val="21"/>
              </w:rPr>
              <w:t>（20）《基础地理信息数字成果》CH/T 9008系列；</w:t>
            </w:r>
          </w:p>
          <w:p>
            <w:pPr>
              <w:pStyle w:val="null3"/>
              <w:ind w:firstLine="420"/>
              <w:jc w:val="both"/>
            </w:pPr>
            <w:r>
              <w:rPr>
                <w:rFonts w:ascii="仿宋_GB2312" w:hAnsi="仿宋_GB2312" w:cs="仿宋_GB2312" w:eastAsia="仿宋_GB2312"/>
                <w:sz w:val="21"/>
              </w:rPr>
              <w:t>（21）《数字航空摄影测量空中三角测量规范》CH/T 3007.1-2011；</w:t>
            </w:r>
          </w:p>
          <w:p>
            <w:pPr>
              <w:pStyle w:val="null3"/>
              <w:ind w:firstLine="420"/>
              <w:jc w:val="both"/>
            </w:pPr>
            <w:r>
              <w:rPr>
                <w:rFonts w:ascii="仿宋_GB2312" w:hAnsi="仿宋_GB2312" w:cs="仿宋_GB2312" w:eastAsia="仿宋_GB2312"/>
                <w:sz w:val="21"/>
              </w:rPr>
              <w:t>（22）《无人机航空摄影测量技术规范》。</w:t>
            </w:r>
          </w:p>
          <w:p>
            <w:pPr>
              <w:pStyle w:val="null3"/>
              <w:ind w:firstLine="420"/>
              <w:jc w:val="both"/>
            </w:pPr>
            <w:r>
              <w:rPr>
                <w:rFonts w:ascii="仿宋_GB2312" w:hAnsi="仿宋_GB2312" w:cs="仿宋_GB2312" w:eastAsia="仿宋_GB2312"/>
                <w:sz w:val="21"/>
              </w:rPr>
              <w:t>（三）质量要求</w:t>
            </w:r>
          </w:p>
          <w:p>
            <w:pPr>
              <w:pStyle w:val="null3"/>
              <w:ind w:firstLine="420"/>
              <w:jc w:val="both"/>
            </w:pPr>
            <w:r>
              <w:rPr>
                <w:rFonts w:ascii="仿宋_GB2312" w:hAnsi="仿宋_GB2312" w:cs="仿宋_GB2312" w:eastAsia="仿宋_GB2312"/>
                <w:sz w:val="21"/>
              </w:rPr>
              <w:t>符合国家、行业有关标准要求，合格率100%。</w:t>
            </w:r>
          </w:p>
          <w:p>
            <w:pPr>
              <w:pStyle w:val="null3"/>
              <w:ind w:firstLine="420"/>
              <w:jc w:val="both"/>
            </w:pPr>
            <w:r>
              <w:rPr>
                <w:rFonts w:ascii="仿宋_GB2312" w:hAnsi="仿宋_GB2312" w:cs="仿宋_GB2312" w:eastAsia="仿宋_GB2312"/>
                <w:sz w:val="21"/>
              </w:rPr>
              <w:t>（四）项目成果及要求</w:t>
            </w:r>
          </w:p>
          <w:p>
            <w:pPr>
              <w:pStyle w:val="null3"/>
              <w:ind w:firstLine="420"/>
              <w:jc w:val="both"/>
            </w:pPr>
            <w:r>
              <w:rPr>
                <w:rFonts w:ascii="仿宋_GB2312" w:hAnsi="仿宋_GB2312" w:cs="仿宋_GB2312" w:eastAsia="仿宋_GB2312"/>
                <w:sz w:val="21"/>
              </w:rPr>
              <w:t>（1）提交测绘成果的时间要求</w:t>
            </w:r>
          </w:p>
          <w:p>
            <w:pPr>
              <w:pStyle w:val="null3"/>
              <w:ind w:firstLine="420"/>
              <w:jc w:val="both"/>
            </w:pPr>
            <w:r>
              <w:rPr>
                <w:rFonts w:ascii="仿宋_GB2312" w:hAnsi="仿宋_GB2312" w:cs="仿宋_GB2312" w:eastAsia="仿宋_GB2312"/>
                <w:sz w:val="21"/>
              </w:rPr>
              <w:t>在没有不可抗拒的客观因素影响条件下，乙方需根据甲方的要求，优先服务、优先出图，保质保量按时提交完成的调查成果、成图图件资料及相关电子成果。</w:t>
            </w:r>
          </w:p>
          <w:p>
            <w:pPr>
              <w:pStyle w:val="null3"/>
              <w:ind w:firstLine="420"/>
              <w:jc w:val="both"/>
            </w:pPr>
            <w:r>
              <w:rPr>
                <w:rFonts w:ascii="仿宋_GB2312" w:hAnsi="仿宋_GB2312" w:cs="仿宋_GB2312" w:eastAsia="仿宋_GB2312"/>
                <w:sz w:val="21"/>
              </w:rPr>
              <w:t>（2）测绘成果的交付</w:t>
            </w:r>
          </w:p>
          <w:tbl>
            <w:tblPr>
              <w:tblInd w:type="dxa" w:w="135"/>
              <w:tblBorders>
                <w:top w:val="none" w:color="000000" w:sz="4"/>
                <w:left w:val="none" w:color="000000" w:sz="4"/>
                <w:bottom w:val="none" w:color="000000" w:sz="4"/>
                <w:right w:val="none" w:color="000000" w:sz="4"/>
                <w:insideH w:val="none"/>
                <w:insideV w:val="none"/>
              </w:tblBorders>
            </w:tblPr>
            <w:tblGrid>
              <w:gridCol w:w="634"/>
              <w:gridCol w:w="634"/>
              <w:gridCol w:w="634"/>
              <w:gridCol w:w="634"/>
            </w:tblGrid>
            <w:tr>
              <w:tc>
                <w:tcPr>
                  <w:tcW w:type="dxa" w:w="63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序号</w:t>
                  </w:r>
                </w:p>
              </w:tc>
              <w:tc>
                <w:tcPr>
                  <w:tcW w:type="dxa" w:w="63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成果名称</w:t>
                  </w:r>
                </w:p>
              </w:tc>
              <w:tc>
                <w:tcPr>
                  <w:tcW w:type="dxa" w:w="63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规格</w:t>
                  </w:r>
                </w:p>
              </w:tc>
              <w:tc>
                <w:tcPr>
                  <w:tcW w:type="dxa" w:w="63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数量</w:t>
                  </w:r>
                </w:p>
              </w:tc>
            </w:tr>
            <w:tr>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1</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航拍图</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Jpg格式</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r>
            <w:tr>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2</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位置示意图</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电子版</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r>
            <w:tr>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3</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实测成果</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纸质版</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r>
            <w:tr>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4</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宗地图</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纸质版</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r>
            <w:tr>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5</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地形图</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电子版</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r>
            <w:tr>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界址点放样报告</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纸质版</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r>
            <w:tr>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7</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不动产权籍调查</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纸质版</w:t>
                  </w:r>
                </w:p>
              </w:tc>
              <w:tc>
                <w:tcPr>
                  <w:tcW w:type="dxa" w:w="6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r>
          </w:tbl>
          <w:p>
            <w:pPr>
              <w:pStyle w:val="null3"/>
              <w:jc w:val="both"/>
            </w:pPr>
            <w:r>
              <w:rPr>
                <w:rFonts w:ascii="仿宋_GB2312" w:hAnsi="仿宋_GB2312" w:cs="仿宋_GB2312" w:eastAsia="仿宋_GB2312"/>
                <w:sz w:val="21"/>
              </w:rPr>
              <w:t>乙方交付的测绘成果名称、规格、数量及时间等详见下表所示：</w:t>
            </w:r>
          </w:p>
          <w:p>
            <w:pPr>
              <w:pStyle w:val="null3"/>
              <w:ind w:firstLine="420"/>
              <w:jc w:val="both"/>
            </w:pPr>
            <w:r>
              <w:rPr>
                <w:rFonts w:ascii="仿宋_GB2312" w:hAnsi="仿宋_GB2312" w:cs="仿宋_GB2312" w:eastAsia="仿宋_GB2312"/>
                <w:sz w:val="21"/>
              </w:rPr>
              <w:t>（3）服务要求</w:t>
            </w:r>
          </w:p>
          <w:p>
            <w:pPr>
              <w:pStyle w:val="null3"/>
              <w:ind w:firstLine="420"/>
              <w:jc w:val="both"/>
            </w:pPr>
            <w:r>
              <w:rPr>
                <w:rFonts w:ascii="仿宋_GB2312" w:hAnsi="仿宋_GB2312" w:cs="仿宋_GB2312" w:eastAsia="仿宋_GB2312"/>
                <w:sz w:val="21"/>
              </w:rPr>
              <w:t>1、严格根据采购单位要求，按照相关《规程》，保质保量完成调查任务，出具相关成果。</w:t>
            </w:r>
          </w:p>
          <w:p>
            <w:pPr>
              <w:pStyle w:val="null3"/>
              <w:ind w:firstLine="420"/>
              <w:jc w:val="both"/>
            </w:pPr>
            <w:r>
              <w:rPr>
                <w:rFonts w:ascii="仿宋_GB2312" w:hAnsi="仿宋_GB2312" w:cs="仿宋_GB2312" w:eastAsia="仿宋_GB2312"/>
                <w:sz w:val="21"/>
              </w:rPr>
              <w:t>2、对采购单位提供和作业完成的各种成果、图件、资料负责做好保密工作，不丢失、不外传、不复印，任务完成后如数归还采购单位。</w:t>
            </w:r>
          </w:p>
          <w:p>
            <w:pPr>
              <w:pStyle w:val="null3"/>
              <w:ind w:firstLine="420"/>
              <w:jc w:val="both"/>
            </w:pPr>
            <w:r>
              <w:rPr>
                <w:rFonts w:ascii="仿宋_GB2312" w:hAnsi="仿宋_GB2312" w:cs="仿宋_GB2312" w:eastAsia="仿宋_GB2312"/>
                <w:sz w:val="21"/>
              </w:rPr>
              <w:t>3、承担测绘服务所需的仪器设备及作业材料等。</w:t>
            </w:r>
          </w:p>
          <w:p>
            <w:pPr>
              <w:pStyle w:val="null3"/>
              <w:ind w:firstLine="422"/>
              <w:jc w:val="both"/>
            </w:pPr>
            <w:r>
              <w:rPr>
                <w:rFonts w:ascii="仿宋_GB2312" w:hAnsi="仿宋_GB2312" w:cs="仿宋_GB2312" w:eastAsia="仿宋_GB2312"/>
                <w:sz w:val="21"/>
                <w:b/>
              </w:rPr>
              <w:t>二、其他要求</w:t>
            </w:r>
          </w:p>
          <w:p>
            <w:pPr>
              <w:pStyle w:val="null3"/>
              <w:jc w:val="both"/>
            </w:pPr>
            <w:r>
              <w:rPr>
                <w:rFonts w:ascii="仿宋_GB2312" w:hAnsi="仿宋_GB2312" w:cs="仿宋_GB2312" w:eastAsia="仿宋_GB2312"/>
                <w:sz w:val="21"/>
              </w:rPr>
              <w:t>具体测绘内容及最高限价详见下表</w:t>
            </w:r>
          </w:p>
          <w:tbl>
            <w:tblPr>
              <w:tblInd w:type="dxa" w:w="120"/>
              <w:tblBorders>
                <w:top w:val="none" w:color="000000" w:sz="4"/>
                <w:left w:val="none" w:color="000000" w:sz="4"/>
                <w:bottom w:val="none" w:color="000000" w:sz="4"/>
                <w:right w:val="none" w:color="000000" w:sz="4"/>
                <w:insideH w:val="none"/>
                <w:insideV w:val="none"/>
              </w:tblBorders>
            </w:tblPr>
            <w:tblGrid>
              <w:gridCol w:w="200"/>
              <w:gridCol w:w="545"/>
              <w:gridCol w:w="310"/>
              <w:gridCol w:w="772"/>
              <w:gridCol w:w="710"/>
            </w:tblGrid>
            <w:tr>
              <w:tc>
                <w:tcPr>
                  <w:tcW w:type="dxa" w:w="2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序号</w:t>
                  </w:r>
                </w:p>
              </w:tc>
              <w:tc>
                <w:tcPr>
                  <w:tcW w:type="dxa" w:w="5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成果名称</w:t>
                  </w:r>
                </w:p>
              </w:tc>
              <w:tc>
                <w:tcPr>
                  <w:tcW w:type="dxa" w:w="3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单位</w:t>
                  </w:r>
                </w:p>
              </w:tc>
              <w:tc>
                <w:tcPr>
                  <w:tcW w:type="dxa" w:w="7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综合单价最高限价（元）</w:t>
                  </w:r>
                </w:p>
              </w:tc>
              <w:tc>
                <w:tcPr>
                  <w:tcW w:type="dxa" w:w="7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备注</w:t>
                  </w:r>
                </w:p>
              </w:tc>
            </w:tr>
            <w:tr>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航拍图</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宗</w:t>
                  </w:r>
                </w:p>
              </w:tc>
              <w:tc>
                <w:tcPr>
                  <w:tcW w:type="dxa" w:w="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5000</w:t>
                  </w:r>
                </w:p>
              </w:tc>
              <w:tc>
                <w:tcPr>
                  <w:tcW w:type="dxa" w:w="71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如后期服务内容中有新增加的作业内容（包括但不限于航拍图、位置示意图、实测成果、宗地图、地形图、界址点放样报告、不动产权籍调查）根据现行市场价格据实结算</w:t>
                  </w:r>
                </w:p>
              </w:tc>
            </w:tr>
            <w:tr>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位置示意图</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宗</w:t>
                  </w:r>
                </w:p>
              </w:tc>
              <w:tc>
                <w:tcPr>
                  <w:tcW w:type="dxa" w:w="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650</w:t>
                  </w:r>
                </w:p>
              </w:tc>
              <w:tc>
                <w:tcPr>
                  <w:tcW w:type="dxa" w:w="71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实测成果</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点</w:t>
                  </w:r>
                </w:p>
              </w:tc>
              <w:tc>
                <w:tcPr>
                  <w:tcW w:type="dxa" w:w="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800</w:t>
                  </w:r>
                </w:p>
              </w:tc>
              <w:tc>
                <w:tcPr>
                  <w:tcW w:type="dxa" w:w="71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宗地图</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点</w:t>
                  </w:r>
                </w:p>
              </w:tc>
              <w:tc>
                <w:tcPr>
                  <w:tcW w:type="dxa" w:w="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225</w:t>
                  </w:r>
                </w:p>
              </w:tc>
              <w:tc>
                <w:tcPr>
                  <w:tcW w:type="dxa" w:w="71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地形图</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宗地</w:t>
                  </w:r>
                </w:p>
              </w:tc>
              <w:tc>
                <w:tcPr>
                  <w:tcW w:type="dxa" w:w="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7500</w:t>
                  </w:r>
                </w:p>
              </w:tc>
              <w:tc>
                <w:tcPr>
                  <w:tcW w:type="dxa" w:w="71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界址点放样报告</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点</w:t>
                  </w:r>
                </w:p>
              </w:tc>
              <w:tc>
                <w:tcPr>
                  <w:tcW w:type="dxa" w:w="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350</w:t>
                  </w:r>
                </w:p>
              </w:tc>
              <w:tc>
                <w:tcPr>
                  <w:tcW w:type="dxa" w:w="710"/>
                  <w:vMerge/>
                  <w:tcBorders>
                    <w:top w:val="none" w:color="000000" w:sz="4"/>
                    <w:left w:val="singl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不动产权籍调查</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平方米</w:t>
                  </w:r>
                </w:p>
              </w:tc>
              <w:tc>
                <w:tcPr>
                  <w:tcW w:type="dxa" w:w="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0.86</w:t>
                  </w:r>
                </w:p>
              </w:tc>
              <w:tc>
                <w:tcPr>
                  <w:tcW w:type="dxa" w:w="710"/>
                  <w:vMerge/>
                  <w:tcBorders>
                    <w:top w:val="none" w:color="000000" w:sz="4"/>
                    <w:left w:val="singl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由供应商根据项目需求配置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由供应商根据项目需求配置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自合同签订之日起至2026年底前完成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通过专家组及相关部门评审通过。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1、根据乙方每季度实际完成测绘工作的量在每季度末据实结算，结算前乙方须向甲方提供本季度完成的实际工作量及结算金额，经甲方确认后提供等额增值税发票进行结算付款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1、根据乙方每季度实际完成测绘工作的量在每季度末据实结算，结算前乙方须向甲方提供本季度完成的实际工作量及结算金额，经甲方确认后提供等额增值税发票进行结算付款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1、根据乙方每季度实际完成测绘工作的量在每季度末据实结算，结算前乙方须向甲方提供本季度完成的实际工作量及结算金额，经甲方确认后提供等额增值税发票进行结算付款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1、根据乙方每季度实际完成测绘工作的量在每季度末据实结算，结算前乙方须向甲方提供本季度完成的实际工作量及结算金额，经甲方确认后提供等额增值税发票进行结算付款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二）未按合同要求提供服务或服务质量不能满足本次招标要求，甲方会同监督机构、有权终止合同和对乙方违约行为进行追究，同时按政府采购法的有关规定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本项目采用电子化投标方式，供应商需于竞争性磋商响应文件递交截止时间前在线提交电子响应文件。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第一部分资格证明文件.docx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第一部分资格证明文件.docx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第一部分资格证明文件.docx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具有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提供首次响应文件递交截止时间前6个月内任意时段的缴纳证明。依法不需要交纳社会保障资金的供应商应提供相关文件证明；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提供首次响应文件递交截止时间前6个月任意时段的纳税证明或完税证明（除印花税外任意税种），纳税证明或完税证明上应有代收机构或税务机关的公章或业务专用章。依法免税的供应商应提供相关文件证明；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 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身份证明/法定代表人授权委托书：法定代表人直接参加磋商的，须提供法定代表人身份证明及其身份证电子件或扫描件；法定代表人授权他人参加磋商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供应商具有测绘主管部门颁发的乙级及以上测绘资质（专业范围包含界线与不动产测绘）；</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供应商参与磋商的承诺函</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第一部分资格证明文件.docx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第三部分磋商响应方案.docx 第二部分符合性证明文件.docx 标的清单 第一部分资格证明文件.docx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w:t>
            </w:r>
          </w:p>
        </w:tc>
        <w:tc>
          <w:tcPr>
            <w:tcW w:type="dxa" w:w="1661"/>
          </w:tcPr>
          <w:p>
            <w:pPr>
              <w:pStyle w:val="null3"/>
            </w:pPr>
            <w:r>
              <w:rPr>
                <w:rFonts w:ascii="仿宋_GB2312" w:hAnsi="仿宋_GB2312" w:cs="仿宋_GB2312" w:eastAsia="仿宋_GB2312"/>
              </w:rPr>
              <w:t>第二部分符合性证明文件.docx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第二部分符合性证明文件.docx 标的清单 第一部分资格证明文件.docx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第二部分符合性证明文件.docx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第二部分符合性证明文件.docx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无其他竞争性磋商文件或法律法规明确规定响应无效的事项</w:t>
            </w:r>
          </w:p>
        </w:tc>
        <w:tc>
          <w:tcPr>
            <w:tcW w:type="dxa" w:w="3322"/>
          </w:tcPr>
          <w:p>
            <w:pPr>
              <w:pStyle w:val="null3"/>
            </w:pPr>
            <w:r>
              <w:rPr>
                <w:rFonts w:ascii="仿宋_GB2312" w:hAnsi="仿宋_GB2312" w:cs="仿宋_GB2312" w:eastAsia="仿宋_GB2312"/>
              </w:rPr>
              <w:t>没有不符合竞争性磋商文件及法律法规规定的被视为无效响应的其他条款</w:t>
            </w:r>
          </w:p>
        </w:tc>
        <w:tc>
          <w:tcPr>
            <w:tcW w:type="dxa" w:w="1661"/>
          </w:tcPr>
          <w:p>
            <w:pPr>
              <w:pStyle w:val="null3"/>
            </w:pPr>
            <w:r>
              <w:rPr>
                <w:rFonts w:ascii="仿宋_GB2312" w:hAnsi="仿宋_GB2312" w:cs="仿宋_GB2312" w:eastAsia="仿宋_GB2312"/>
              </w:rPr>
              <w:t>第二部分符合性证明文件.docx 标的清单 第一部分资格证明文件.docx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项目理解及工作思路</w:t>
            </w:r>
          </w:p>
        </w:tc>
        <w:tc>
          <w:tcPr>
            <w:tcW w:type="dxa" w:w="2492"/>
          </w:tcPr>
          <w:p>
            <w:pPr>
              <w:pStyle w:val="null3"/>
            </w:pPr>
            <w:r>
              <w:rPr>
                <w:rFonts w:ascii="仿宋_GB2312" w:hAnsi="仿宋_GB2312" w:cs="仿宋_GB2312" w:eastAsia="仿宋_GB2312"/>
              </w:rPr>
              <w:t>对本项目要求理解程度和针对本项目的工作思路和方向进行评审。分析理解准确、全面、透彻，对本项目工作的顺利开展有指导性意义得6分；分析理解较为准确、全面、透彻，对本项目开展有较强的指导意义得5分； 分析理解相对准确但对本项目开展有相对较强的指导意义得4分；分析理解基本准确但对本项目开展有一定的指导意义得3分；分析理解不够准确，指导意义差得2分；分析理解偏离本项目需求得1分。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针对本项目的特点提供总体的项目实施方案（包括①总体的服务设想、②服务定位、③工作流程、④服务计划等），根据方案的科学性、合理性、针对性综合评审。 每个单项方案内容完整、思路明晰合理、科学、实用、针对性强得4分；每个单项方案内容相对完整、思路相对明晰合理、科学、实用、针对性相对合理得3分；每个单项方案内容基本完整、思路基本明晰合理、科学、实用、针对性基本合理得2分；每个单项方案内容不够完整、思路不够明晰合理、针对性相对差弱得1分；未提供相关内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确保服务质量的技术组织措施</w:t>
            </w:r>
          </w:p>
        </w:tc>
        <w:tc>
          <w:tcPr>
            <w:tcW w:type="dxa" w:w="2492"/>
          </w:tcPr>
          <w:p>
            <w:pPr>
              <w:pStyle w:val="null3"/>
            </w:pPr>
            <w:r>
              <w:rPr>
                <w:rFonts w:ascii="仿宋_GB2312" w:hAnsi="仿宋_GB2312" w:cs="仿宋_GB2312" w:eastAsia="仿宋_GB2312"/>
              </w:rPr>
              <w:t>结合本项目实际情况，有详细完整的服务质量保证措施。措施详细完整、可行性、针对性强，能高质量的确保项目服务质量，得8分； 保障措施比较完整，可行性及针对性较强以保证项目质量，得7分； 保障措施相对完整，有一定的可行性及针对性以保证项目质量，得6分； 保障措施完整，相对具有可行性及针对性保证项目质量，得5分； 保障措施基本完整，基本具有可行性及针对性，基本保证项目质量，得4分； 保障措施、可行性措施简单，得6分； 保障措施简略，可行性存在不足，得2分；保障措施存在严重漏洞，无可行性，得1分；未提供相关内容不得分。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针对采购人实际需求提供保证服务质量的承诺： 承诺详细、具体，可行性强得6分； 承诺较为详细，可行性较强得5分； 承诺基本详细，有一定可行性得4分； 承诺基本详细，有可行性得3分； 承诺较简单，可行性较差得2分； 承诺有缺漏，无可行性，得1分；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供应商针对本项目采购内容有明确的调查进度安排，合理的成果交付时限且服务计划保证措施得当。 具有科学合理明确的工作进度计划，工作进度计划与实际需求的契合度高，时间节点把控清晰明确，对工作推进指导性强，得8分； 具有科学合理工作进度计划，工作进度计划与实际需求的契合度相对较高，时间节点把控准确，对工作推进指导性强，得7分； 具有相对科学合理的工作进度计划，工作进度计划与实际需求的契合度相对合理，时间节点把控相对准确，对工作推进指导性较强，得6分； 工作进度计划比较符合实际需求，有相关时间节点的把控要求，对工作推进有一定的指导性，得5分； 工作进度计划基本符合实际需求，相关时间节点的把控要求基本准确，对工作推进相对有指导性，得4分； 工作进度计划不太符合实际需求，相关时间节点的把控要求不太准确，对工作推进指导性较差，得3分； 工作进度计划不符合实际需求，无法保证工作能够正常推进，得2分； 工作进度计划措施与项目实际需求不符，内容粗略得1分；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拟投入本项目的设备配置</w:t>
            </w:r>
          </w:p>
        </w:tc>
        <w:tc>
          <w:tcPr>
            <w:tcW w:type="dxa" w:w="2492"/>
          </w:tcPr>
          <w:p>
            <w:pPr>
              <w:pStyle w:val="null3"/>
            </w:pPr>
            <w:r>
              <w:rPr>
                <w:rFonts w:ascii="仿宋_GB2312" w:hAnsi="仿宋_GB2312" w:cs="仿宋_GB2312" w:eastAsia="仿宋_GB2312"/>
              </w:rPr>
              <w:t>供应商具有完成本项目所必要的测绘软硬件设备，提供仪器设备一览表。从①软件设备数量；②软件设备数量、③先进性；④合理性、⑤设备维护方案进行评审； 能够满足项目需求、数量充足得10分； 每缺项一个内容的描述扣2分； 以上内容仅有描述但不够完善的，每有一项扣1分； 注：须提供相关证明材料（包括但不限于设备的发票、设备图片等证明材料复印件等）。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①供应商应组建不少于6人的团队，满足得2分，否则不得分。 ②项目团队具有丰富的相关领域职称，除项目负责人外，每增加1名测绘专业工程师或注册工程师得1分，每增加1名测绘专业高级工程师得2分；本项最高得6分。 （注：以上人员须提供加盖供应商公章的相关证书，否则不计分）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项目进度方案</w:t>
            </w:r>
          </w:p>
        </w:tc>
        <w:tc>
          <w:tcPr>
            <w:tcW w:type="dxa" w:w="2492"/>
          </w:tcPr>
          <w:p>
            <w:pPr>
              <w:pStyle w:val="null3"/>
            </w:pPr>
            <w:r>
              <w:rPr>
                <w:rFonts w:ascii="仿宋_GB2312" w:hAnsi="仿宋_GB2312" w:cs="仿宋_GB2312" w:eastAsia="仿宋_GB2312"/>
              </w:rPr>
              <w:t>根据采购要求和响应情况，对供应商提供的项目进度方案进行评价,包含：①项目进度计划，②确保进度的技术组织及管理措施等共计 2 项，每项最高得3分：每缺项一个内容的描述扣3分； 以上内容仅有描述但不够完善的，每有一项扣2分；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针对采购人的涉密信息提供有效，针对性强的保密措施， 措施内容科学具体，有针对性强，得6分； 措施内容比较具体，针对性较强，得5分； 措施内容相对具体，针对性相对较强，得4分； 措施内容基本具体，有一定指导性，得3分； 措施内容不够具体，得2分； 措施内容有缺漏，得1分；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工作重、难点分析及解决</w:t>
            </w:r>
          </w:p>
        </w:tc>
        <w:tc>
          <w:tcPr>
            <w:tcW w:type="dxa" w:w="2492"/>
          </w:tcPr>
          <w:p>
            <w:pPr>
              <w:pStyle w:val="null3"/>
            </w:pPr>
            <w:r>
              <w:rPr>
                <w:rFonts w:ascii="仿宋_GB2312" w:hAnsi="仿宋_GB2312" w:cs="仿宋_GB2312" w:eastAsia="仿宋_GB2312"/>
              </w:rPr>
              <w:t>供应商提供针对本项目工作重点、难点分析及解决方案，对重点、难点分析准确，解决方案针对性强的得6分； 对重点、难点分析较准确、提出的解决方案有一定的针对性和可行性的得5分； 对重点、难点分析相对准确、提出的解决方案具有针对性和可行性的得4分； 对重点、难点分析基本准确，解决方案部分具有针对性和可行性的得3分； 对重点、难点分析与项目实际情况存在偏离，部分解决方案的可行和合理的得2分； 对重点、难点有分析不准确，解决方案合理性、可行性差的得1分；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供应商提供2022年1月1日至今的类似项目业绩。每提供一项得2分，最高得10分；业绩证明以合同签订时间为准，（供应商应在竞争性磋商响应文件中提供业绩合同电子件或扫描件）。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第三部分磋商响应方案.docx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1、经初审合格的竞争性磋商响应文件，其磋商报价为有效磋商报价。 2、满足竞争性磋商文件实质性要求且最终报价最低的供应商的价格为磋商基准价，其价格分为满分10分。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第二部分符合性证明文件.docx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详见附件：第一部分资格证明文件.docx</w:t>
      </w:r>
    </w:p>
    <w:p>
      <w:pPr>
        <w:pStyle w:val="null3"/>
        <w:ind w:firstLine="960"/>
      </w:pPr>
      <w:r>
        <w:rPr>
          <w:rFonts w:ascii="仿宋_GB2312" w:hAnsi="仿宋_GB2312" w:cs="仿宋_GB2312" w:eastAsia="仿宋_GB2312"/>
        </w:rPr>
        <w:t>详见附件：第二部分符合性证明文件.docx</w:t>
      </w:r>
    </w:p>
    <w:p>
      <w:pPr>
        <w:pStyle w:val="null3"/>
        <w:ind w:firstLine="960"/>
      </w:pPr>
      <w:r>
        <w:rPr>
          <w:rFonts w:ascii="仿宋_GB2312" w:hAnsi="仿宋_GB2312" w:cs="仿宋_GB2312" w:eastAsia="仿宋_GB2312"/>
        </w:rPr>
        <w:t>详见附件：第三部分磋商响应方案.docx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详见附件：测绘合同(1).docx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