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版本号：SXZM-CS-2025032.20250901001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西安市鄠邑区2025年供应计划商住用地土壤污染调查项目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SXZM-CS-2025032.</w:t>
      </w:r>
      <w:r>
        <w:br/>
      </w:r>
      <w:r>
        <w:br/>
      </w:r>
      <w:r>
        <w:br/>
      </w:r>
    </w:p>
    <w:p>
      <w:pPr>
        <w:pStyle w:val="null3"/>
        <w:jc w:val="center"/>
        <w:outlineLvl w:val="2"/>
      </w:pPr>
      <w:r>
        <w:rPr>
          <w:rFonts w:ascii="仿宋_GB2312" w:hAnsi="仿宋_GB2312" w:cs="仿宋_GB2312" w:eastAsia="仿宋_GB2312"/>
          <w:sz w:val="28"/>
          <w:b/>
        </w:rPr>
        <w:t>西安市自然资源和规划局鄠邑分局</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西安市自然资源和规划局鄠邑分局</w:t>
      </w:r>
      <w:r>
        <w:rPr>
          <w:rFonts w:ascii="仿宋_GB2312" w:hAnsi="仿宋_GB2312" w:cs="仿宋_GB2312" w:eastAsia="仿宋_GB2312"/>
        </w:rPr>
        <w:t>委托，拟对</w:t>
      </w:r>
      <w:r>
        <w:rPr>
          <w:rFonts w:ascii="仿宋_GB2312" w:hAnsi="仿宋_GB2312" w:cs="仿宋_GB2312" w:eastAsia="仿宋_GB2312"/>
        </w:rPr>
        <w:t>西安市鄠邑区2025年供应计划商住用地土壤污染调查项目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SXZM-CS-2025032.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西安市鄠邑区2025年供应计划商住用地土壤污染调查项目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快土地报批，土地供应工作根据陕西省自然资源厅，陕西省生态厅《关于规范报批建设用地审查土壤环境质量要求的通知》（陕自然发【2022】3号）、《关于落实“十四五”重点建设用地安全利用指标考核要求的通知》（陕环发【2023】14号）文件要求凡涉及用途变更为“一住两公”的用地，应由当地人民政府按照技术规范要求，组织开展土壤污染状况调查，9个地块目前预计只需第一阶段调查，单价8万元/地块，总费用预计72万元，供应商报价不得超过8万元/地块；年度供应计划外的成熟项目，可走提前批使用或替换年度供应计划内同等规模项目指标，完成评估事项。最终按实际发生费用，据实结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采购包1（西安市鄠邑区2025年供应计划商住用地土壤污染调查项目）：属于专门面向中小企业采购。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经具有审计资质单位出具的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3、社保缴纳证明：提供首次响应文件递交截止时间前6个月内任意时段的缴纳证明。依法不需要交纳社会保障资金的供应商应提供相关文件证明；</w:t>
      </w:r>
    </w:p>
    <w:p>
      <w:pPr>
        <w:pStyle w:val="null3"/>
      </w:pPr>
      <w:r>
        <w:rPr>
          <w:rFonts w:ascii="仿宋_GB2312" w:hAnsi="仿宋_GB2312" w:cs="仿宋_GB2312" w:eastAsia="仿宋_GB2312"/>
        </w:rPr>
        <w:t>4、税收缴纳证明：提供首次响应文件递交截止时间前6个月任意时段的纳税证明或完税证明（除印花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6、履行合同承诺函：提供具有履行合同所必需的设备和专业技术能力的承诺。</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 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8、法定代表人身份证明/法定代表人授权委托书：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11、供应商书面声明：供应商未为本项目提供整体设计、规范编制或者项目管理、监理、检测等服务的书面声明；</w:t>
      </w:r>
    </w:p>
    <w:p>
      <w:pPr>
        <w:pStyle w:val="null3"/>
      </w:pPr>
      <w:r>
        <w:rPr>
          <w:rFonts w:ascii="仿宋_GB2312" w:hAnsi="仿宋_GB2312" w:cs="仿宋_GB2312" w:eastAsia="仿宋_GB2312"/>
        </w:rPr>
        <w:t>12、供应商参与磋商的承诺函：符合竞争性磋商文件要求。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陕西省西安市户县兆丰西路3号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029-84820116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刘晨星、樊睿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029-88811335、15635910217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 招标代理服务费账户信息： 户名：陕西正明项目管理有限公司 开户行：中国民生银行股份有限公司枫林绿洲支行 账号：170455461 招标代理服务费按约定由成交供应商支付，成交供应商在领取成交通知书前，须向采购代理机构支付招标代理服务费。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西安市自然资源和规划局鄠邑分局</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西安市自然资源和规划局鄠邑分局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调查报告通过专家组及相关部门评审通过。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联系人：刘晨星、樊睿</w:t>
      </w:r>
    </w:p>
    <w:p>
      <w:pPr>
        <w:pStyle w:val="null3"/>
      </w:pPr>
      <w:r>
        <w:rPr>
          <w:rFonts w:ascii="仿宋_GB2312" w:hAnsi="仿宋_GB2312" w:cs="仿宋_GB2312" w:eastAsia="仿宋_GB2312"/>
        </w:rPr>
        <w:t>联系电话：029-88811335、15635910217</w:t>
      </w:r>
    </w:p>
    <w:p>
      <w:pPr>
        <w:pStyle w:val="null3"/>
      </w:pPr>
      <w:r>
        <w:rPr>
          <w:rFonts w:ascii="仿宋_GB2312" w:hAnsi="仿宋_GB2312" w:cs="仿宋_GB2312" w:eastAsia="仿宋_GB2312"/>
        </w:rPr>
        <w:t>地址：陕西省西安市雁塔区科技二路71号竹园天寰国际1807室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为加快土地报批，土地供应工作根据陕西省自然资源厅，陕西省生态厅《关于规范报批建设用地审查土壤环境质量要求的通知》（陕自然发【</w:t>
      </w:r>
      <w:r>
        <w:rPr>
          <w:rFonts w:ascii="仿宋_GB2312" w:hAnsi="仿宋_GB2312" w:cs="仿宋_GB2312" w:eastAsia="仿宋_GB2312"/>
        </w:rPr>
        <w:t>2022</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号）、《关于落实“十四五”重点建设用地安全利用指标考核要求的通知》（陕环发【</w:t>
      </w:r>
      <w:r>
        <w:rPr>
          <w:rFonts w:ascii="仿宋_GB2312" w:hAnsi="仿宋_GB2312" w:cs="仿宋_GB2312" w:eastAsia="仿宋_GB2312"/>
        </w:rPr>
        <w:t>2023</w:t>
      </w:r>
      <w:r>
        <w:rPr>
          <w:rFonts w:ascii="仿宋_GB2312" w:hAnsi="仿宋_GB2312" w:cs="仿宋_GB2312" w:eastAsia="仿宋_GB2312"/>
        </w:rPr>
        <w:t>】</w:t>
      </w:r>
      <w:r>
        <w:rPr>
          <w:rFonts w:ascii="仿宋_GB2312" w:hAnsi="仿宋_GB2312" w:cs="仿宋_GB2312" w:eastAsia="仿宋_GB2312"/>
        </w:rPr>
        <w:t>14</w:t>
      </w:r>
      <w:r>
        <w:rPr>
          <w:rFonts w:ascii="仿宋_GB2312" w:hAnsi="仿宋_GB2312" w:cs="仿宋_GB2312" w:eastAsia="仿宋_GB2312"/>
        </w:rPr>
        <w:t>号）文件要求凡涉及用途变更为“一住两公”的用地，应由当地人民政府按照技术规范要求，组织开展土壤污染状况调查，</w:t>
      </w:r>
      <w:r>
        <w:rPr>
          <w:rFonts w:ascii="仿宋_GB2312" w:hAnsi="仿宋_GB2312" w:cs="仿宋_GB2312" w:eastAsia="仿宋_GB2312"/>
        </w:rPr>
        <w:t>9</w:t>
      </w:r>
      <w:r>
        <w:rPr>
          <w:rFonts w:ascii="仿宋_GB2312" w:hAnsi="仿宋_GB2312" w:cs="仿宋_GB2312" w:eastAsia="仿宋_GB2312"/>
        </w:rPr>
        <w:t>个地块目前预计只需第一阶段调查，单价</w:t>
      </w:r>
      <w:r>
        <w:rPr>
          <w:rFonts w:ascii="仿宋_GB2312" w:hAnsi="仿宋_GB2312" w:cs="仿宋_GB2312" w:eastAsia="仿宋_GB2312"/>
        </w:rPr>
        <w:t>8</w:t>
      </w:r>
      <w:r>
        <w:rPr>
          <w:rFonts w:ascii="仿宋_GB2312" w:hAnsi="仿宋_GB2312" w:cs="仿宋_GB2312" w:eastAsia="仿宋_GB2312"/>
        </w:rPr>
        <w:t>万元</w:t>
      </w:r>
      <w:r>
        <w:rPr>
          <w:rFonts w:ascii="仿宋_GB2312" w:hAnsi="仿宋_GB2312" w:cs="仿宋_GB2312" w:eastAsia="仿宋_GB2312"/>
        </w:rPr>
        <w:t>/</w:t>
      </w:r>
      <w:r>
        <w:rPr>
          <w:rFonts w:ascii="仿宋_GB2312" w:hAnsi="仿宋_GB2312" w:cs="仿宋_GB2312" w:eastAsia="仿宋_GB2312"/>
        </w:rPr>
        <w:t>地块，总费用预计</w:t>
      </w:r>
      <w:r>
        <w:rPr>
          <w:rFonts w:ascii="仿宋_GB2312" w:hAnsi="仿宋_GB2312" w:cs="仿宋_GB2312" w:eastAsia="仿宋_GB2312"/>
        </w:rPr>
        <w:t>72</w:t>
      </w:r>
      <w:r>
        <w:rPr>
          <w:rFonts w:ascii="仿宋_GB2312" w:hAnsi="仿宋_GB2312" w:cs="仿宋_GB2312" w:eastAsia="仿宋_GB2312"/>
        </w:rPr>
        <w:t>万元，供应商报价不得超过</w:t>
      </w:r>
      <w:r>
        <w:rPr>
          <w:rFonts w:ascii="仿宋_GB2312" w:hAnsi="仿宋_GB2312" w:cs="仿宋_GB2312" w:eastAsia="仿宋_GB2312"/>
        </w:rPr>
        <w:t>8</w:t>
      </w:r>
      <w:r>
        <w:rPr>
          <w:rFonts w:ascii="仿宋_GB2312" w:hAnsi="仿宋_GB2312" w:cs="仿宋_GB2312" w:eastAsia="仿宋_GB2312"/>
        </w:rPr>
        <w:t>万元</w:t>
      </w:r>
      <w:r>
        <w:rPr>
          <w:rFonts w:ascii="仿宋_GB2312" w:hAnsi="仿宋_GB2312" w:cs="仿宋_GB2312" w:eastAsia="仿宋_GB2312"/>
        </w:rPr>
        <w:t>/</w:t>
      </w:r>
      <w:r>
        <w:rPr>
          <w:rFonts w:ascii="仿宋_GB2312" w:hAnsi="仿宋_GB2312" w:cs="仿宋_GB2312" w:eastAsia="仿宋_GB2312"/>
        </w:rPr>
        <w:t>地块</w:t>
      </w:r>
      <w:r>
        <w:rPr>
          <w:rFonts w:ascii="仿宋_GB2312" w:hAnsi="仿宋_GB2312" w:cs="仿宋_GB2312" w:eastAsia="仿宋_GB2312"/>
        </w:rPr>
        <w:t>；年度供应计划外的成熟项目，可走提前批使用或替换年度供应计划内同等规模项目指标，完成评估事项。最终按实际发生费用，据实结算。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西安市鄠邑区2025年供应计划商住用地土壤污染调查项目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标的名称：西安市鄠邑区2025年供应计划商住用地土壤污染调查项目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采样要求：</w:t>
            </w:r>
          </w:p>
          <w:p>
            <w:pPr>
              <w:pStyle w:val="null3"/>
              <w:jc w:val="both"/>
            </w:pPr>
            <w:r>
              <w:rPr>
                <w:rFonts w:ascii="仿宋_GB2312" w:hAnsi="仿宋_GB2312" w:cs="仿宋_GB2312" w:eastAsia="仿宋_GB2312"/>
                <w:sz w:val="21"/>
              </w:rPr>
              <w:t>对西安市自然资源和规划局鄠邑分局9个地块的进行土壤污染调查服务。根据《建设用地土壤污染状况调查技术导则》（HJ 25.1-2019）、《建设用地土壤污染风险管控和修复监测技术导则》（HJ 25.2-2019）、《建设用地土壤环境调查评估技术指南》中相关要求，依据专业布点法加系统布点法，对地块采样点位进行布设。</w:t>
            </w:r>
          </w:p>
          <w:p>
            <w:pPr>
              <w:pStyle w:val="null3"/>
              <w:jc w:val="both"/>
            </w:pPr>
            <w:r>
              <w:rPr>
                <w:rFonts w:ascii="仿宋_GB2312" w:hAnsi="仿宋_GB2312" w:cs="仿宋_GB2312" w:eastAsia="仿宋_GB2312"/>
                <w:sz w:val="21"/>
                <w:b/>
              </w:rPr>
              <w:t>检测要求：</w:t>
            </w:r>
          </w:p>
          <w:p>
            <w:pPr>
              <w:pStyle w:val="null3"/>
              <w:jc w:val="both"/>
            </w:pPr>
            <w:r>
              <w:rPr>
                <w:rFonts w:ascii="仿宋_GB2312" w:hAnsi="仿宋_GB2312" w:cs="仿宋_GB2312" w:eastAsia="仿宋_GB2312"/>
                <w:sz w:val="21"/>
              </w:rPr>
              <w:t>《土壤环境质量建设用地土壤污染风险管控标准》（GB 36600-2018）中规定的土壤基本45项及其特征因子。</w:t>
            </w:r>
          </w:p>
          <w:p>
            <w:pPr>
              <w:pStyle w:val="null3"/>
              <w:jc w:val="both"/>
            </w:pPr>
            <w:r>
              <w:rPr>
                <w:rFonts w:ascii="仿宋_GB2312" w:hAnsi="仿宋_GB2312" w:cs="仿宋_GB2312" w:eastAsia="仿宋_GB2312"/>
                <w:sz w:val="21"/>
                <w:b/>
              </w:rPr>
              <w:t>成果要求：</w:t>
            </w:r>
          </w:p>
          <w:p>
            <w:pPr>
              <w:pStyle w:val="null3"/>
              <w:jc w:val="both"/>
            </w:pPr>
            <w:r>
              <w:rPr>
                <w:rFonts w:ascii="仿宋_GB2312" w:hAnsi="仿宋_GB2312" w:cs="仿宋_GB2312" w:eastAsia="仿宋_GB2312"/>
                <w:sz w:val="21"/>
              </w:rPr>
              <w:t>结合调查结果，编制调查报告，并确定是否应当进一步开展土壤污染风险评估，给出合理的建议与意见。所提交的调查报告必须符合国家现行的设计规范、技术规程及地方有关规定，取得报告审核意见并及时上传至全国土壤环境信息平台，并应满足采购人要求，最终获得采购人确认。成果汇集成册，最终应提交合格的纸质文件，另附电子文件。</w:t>
            </w:r>
          </w:p>
          <w:p>
            <w:pPr>
              <w:pStyle w:val="null3"/>
              <w:jc w:val="both"/>
            </w:pPr>
            <w:r>
              <w:rPr>
                <w:rFonts w:ascii="仿宋_GB2312" w:hAnsi="仿宋_GB2312" w:cs="仿宋_GB2312" w:eastAsia="仿宋_GB2312"/>
                <w:sz w:val="21"/>
                <w:b/>
              </w:rPr>
              <w:t>调查依据：</w:t>
            </w:r>
          </w:p>
          <w:p>
            <w:pPr>
              <w:pStyle w:val="null3"/>
              <w:jc w:val="both"/>
            </w:pPr>
            <w:r>
              <w:rPr>
                <w:rFonts w:ascii="仿宋_GB2312" w:hAnsi="仿宋_GB2312" w:cs="仿宋_GB2312" w:eastAsia="仿宋_GB2312"/>
                <w:sz w:val="21"/>
              </w:rPr>
              <w:t>1、陕西省生态厅《关于规范报批建设用地审查土壤环境质量要求的通知》（陕自然资发【2002】3号。</w:t>
            </w:r>
          </w:p>
          <w:p>
            <w:pPr>
              <w:pStyle w:val="null3"/>
              <w:jc w:val="both"/>
            </w:pPr>
            <w:r>
              <w:rPr>
                <w:rFonts w:ascii="仿宋_GB2312" w:hAnsi="仿宋_GB2312" w:cs="仿宋_GB2312" w:eastAsia="仿宋_GB2312"/>
                <w:sz w:val="21"/>
              </w:rPr>
              <w:t>2、《关于落实“十四五”重点建设用地安全利用指标考核要求的通知》（陕环发【2023】14号）。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由供应商根据项目需求配置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由供应商根据项目需求配置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通过专家组及相关部门评审通过。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根据乙方每季度实际完成土地污染调查工作的量在每季度末据实结算，结算前乙方须向甲方提供本季度完成的实际工作量及结算金额，经甲方确认后提供等额增值税发票进行结算付款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根据乙方每季度实际完成土地污染调查工作的量在每季度末据实结算，结算前乙方须向甲方提供本季度完成的实际工作量及结算金额，经甲方确认后提供等额增值税发票进行结算付款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根据乙方每季度实际完成土地污染调查工作的量在每季度末据实结算，结算前乙方须向甲方提供本季度完成的实际工作量及结算金额，经甲方确认后提供等额增值税发票进行结算付款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根据乙方每季度实际完成土地污染调查工作的量在每季度末据实结算，结算前乙方须向甲方提供本季度完成的实际工作量及结算金额，经甲方确认后提供等额增值税发票进行结算付款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二）未按合同要求提供服务或服务质量不能满足本次招标要求，甲方会同监督机构、有权终止合同和对乙方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本项目采用电子化投标方式，供应商需于竞争性磋商响应文件递交截止时间前在线提交电子响应文件。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提供首次响应文件递交截止时间前6个月内任意时段的缴纳证明。依法不需要交纳社会保障资金的供应商应提供相关文件证明；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提供首次响应文件递交截止时间前6个月任意时段的纳税证明或完税证明（除印花税外任意税种），纳税证明或完税证明上应有代收机构或税务机关的公章或业务专用章。依法免税的供应商应提供相关文件证明；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 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 符合性证明文件.docx 报价表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w:t>
            </w:r>
          </w:p>
        </w:tc>
        <w:tc>
          <w:tcPr>
            <w:tcW w:type="dxa" w:w="1661"/>
          </w:tcPr>
          <w:p>
            <w:pPr>
              <w:pStyle w:val="null3"/>
            </w:pPr>
            <w:r>
              <w:rPr>
                <w:rFonts w:ascii="仿宋_GB2312" w:hAnsi="仿宋_GB2312" w:cs="仿宋_GB2312" w:eastAsia="仿宋_GB2312"/>
              </w:rPr>
              <w:t>符合性证明文件.docx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符合性证明文件.docx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w:t>
            </w:r>
          </w:p>
        </w:tc>
        <w:tc>
          <w:tcPr>
            <w:tcW w:type="dxa" w:w="1661"/>
          </w:tcPr>
          <w:p>
            <w:pPr>
              <w:pStyle w:val="null3"/>
            </w:pPr>
            <w:r>
              <w:rPr>
                <w:rFonts w:ascii="仿宋_GB2312" w:hAnsi="仿宋_GB2312" w:cs="仿宋_GB2312" w:eastAsia="仿宋_GB2312"/>
              </w:rPr>
              <w:t>符合性证明文件.docx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项目理解及工作思路</w:t>
            </w:r>
          </w:p>
        </w:tc>
        <w:tc>
          <w:tcPr>
            <w:tcW w:type="dxa" w:w="2492"/>
          </w:tcPr>
          <w:p>
            <w:pPr>
              <w:pStyle w:val="null3"/>
            </w:pPr>
            <w:r>
              <w:rPr>
                <w:rFonts w:ascii="仿宋_GB2312" w:hAnsi="仿宋_GB2312" w:cs="仿宋_GB2312" w:eastAsia="仿宋_GB2312"/>
              </w:rPr>
              <w:t>对本项目要求理解程度和针对本项目的工作思路和方向进行评审。分析理解准确、全面、透彻，对本项目工作的顺利开展有指导性意义得6分； 分析理解较为准确、全面、透彻，对本项目开展有较强的指导意义得5分； 分析理解相对准确但对本项目开展有相对较强的指导意义得4分；分析理解基本准确但对本项目开展有一定的指导意义得3分；分析理解不够准确，指导意义差得2分； 分析理解偏离本项目需求得1分。未提供相关内容不得分。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的特点提供总体的项目实施方案（包括①总体的服务设想、②服务定位、③工作流程、④服务计划等），根据方案的科学性、合理性、针对性综合评审。每个单项方案内容完整、思路明晰合理、科学、实用、针对性强得4分；每个单项方案内容相对完整、思路相对明晰合理、科学、实用、针对性相对合理得3分；每个单项方案内容基本完整、思路基本明晰合理、科学、实用、针对性基本合理得2分；每个单项方案内容不够完整、思路不够明晰合理、针对性相对差弱得1分；未提供相关内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确保服务质量的技术组织措施</w:t>
            </w:r>
          </w:p>
        </w:tc>
        <w:tc>
          <w:tcPr>
            <w:tcW w:type="dxa" w:w="2492"/>
          </w:tcPr>
          <w:p>
            <w:pPr>
              <w:pStyle w:val="null3"/>
            </w:pPr>
            <w:r>
              <w:rPr>
                <w:rFonts w:ascii="仿宋_GB2312" w:hAnsi="仿宋_GB2312" w:cs="仿宋_GB2312" w:eastAsia="仿宋_GB2312"/>
              </w:rPr>
              <w:t>措施全面、具体、可行、科学合理，得8分；措施比较全面、具体、可行、科学合理，得7分； 措施相对全面、具体、合理，得6分； 措施基本全面、具体、合理，得5分； 措施简单，有一定的合理性得4分； 措施较为笼统，合理性差，得3分； 措施存在较多缺漏，合理性较差，得2分；措施存在严重缺漏，不具备合理性，得1分；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针对采购人实际需求提供保证服务质量的承诺： 承诺详细、具体，可行性强得6分；承诺较为详细，可行性较强得5分；承诺基本详细，有一定可行性得4分；承诺基本详细，有可行性得3分； 承诺较简单，可行性较差得2分；承诺有缺漏，无可行性，得1分；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采购内容有明确的调查进度安排，合理的成果交付时限且服务计划保证措施得当。具有科学合理明确的工作进度计划，工作进度计划与实际需求的契合度高，时间节点把控清晰明确，对工作推进指导性强，得8分； 具有科学合理工作进度计划，工作进度计划与实际需求的契合度相对较高，时间节点把控准确，对工作推进指导性强，得7分；具有相对科学合理的工作进度计划，工作进度计划与实际需求的契合度相对合理，时间节点把控相对准确，对工作推进指导性较强，得6分；工作进度计划比较符合实际需求，有相关时间节点的把控要求，对工作推进有一定的指导性，得5分； 工作进度计划基本符合实际需求，相关时间节点的把控要求基本准确，对工作推进相对有指导性，得4分；工作进度计划不太符合实际需求，相关时间节点的把控要求不太准确，对工作推进指导性较差，得3分； 工作进度计划不符合实际需求，无法保证工作能够正常推进，得2分； 工作进度计划措施与项目实际需求不符，内容粗略得1分；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应急处置措施</w:t>
            </w:r>
          </w:p>
        </w:tc>
        <w:tc>
          <w:tcPr>
            <w:tcW w:type="dxa" w:w="2492"/>
          </w:tcPr>
          <w:p>
            <w:pPr>
              <w:pStyle w:val="null3"/>
            </w:pPr>
            <w:r>
              <w:rPr>
                <w:rFonts w:ascii="仿宋_GB2312" w:hAnsi="仿宋_GB2312" w:cs="仿宋_GB2312" w:eastAsia="仿宋_GB2312"/>
              </w:rPr>
              <w:t>供应商根据在服务过程中可能发生的特殊情况制定具有可操作性的应急处置措施， 措施内容科学具体，有针对性强，得6分；措施内容比较具体，针对性较强，得5分。 措施内容相对具体，针对性相对较强，得4分。 措施内容基本具体，有一定指导性，得3分。 措施内容不够具体，得2分。措施内容有缺漏，得1分；无内容不得分。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拟投入本项目人员配备方案</w:t>
            </w:r>
          </w:p>
        </w:tc>
        <w:tc>
          <w:tcPr>
            <w:tcW w:type="dxa" w:w="2492"/>
          </w:tcPr>
          <w:p>
            <w:pPr>
              <w:pStyle w:val="null3"/>
            </w:pPr>
            <w:r>
              <w:rPr>
                <w:rFonts w:ascii="仿宋_GB2312" w:hAnsi="仿宋_GB2312" w:cs="仿宋_GB2312" w:eastAsia="仿宋_GB2312"/>
              </w:rPr>
              <w:t>结合本项目要求，配备满足采购需求相关服务资格、责任心强的人员，提供完善的人员配备方案。 人员配备方案完善合理，职责明确，满足采购人实际需求得6分；人员配备方案比较完善合理，职责比较明确，满足采购人实际需求得5分；人员配备方案相对完善，职责相对明确，相对能满足采购人实际需求得4分；人员配备方案基本完善合理，职责比较明确，满足采购人实际需求得3分；人员配备方案不够完善，职责基本明确，基本能够满足采购人实际需求得2分；人员配备方案不完善，职责不明确，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针对采购人的涉密信息提供有效，针对性强的保密措施，措施内容科学具体，有针对性强，得6分； 措施内容比较具体，针对性较强，得5分；措施内容相对具体，针对性相对较强，得4分； 措施内容基本具体，有一定指导性，得3分； 措施内容不够具体，得2分；措施内容有缺漏，得1分；未提供相关内容不得分。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组织管理能力</w:t>
            </w:r>
          </w:p>
        </w:tc>
        <w:tc>
          <w:tcPr>
            <w:tcW w:type="dxa" w:w="2492"/>
          </w:tcPr>
          <w:p>
            <w:pPr>
              <w:pStyle w:val="null3"/>
            </w:pPr>
            <w:r>
              <w:rPr>
                <w:rFonts w:ascii="仿宋_GB2312" w:hAnsi="仿宋_GB2312" w:cs="仿宋_GB2312" w:eastAsia="仿宋_GB2312"/>
              </w:rPr>
              <w:t>项目管理成员具有较强的组织管理能力，项目经验丰富，以保证项目顺利进行。 组织管理能力强，项目管理成员结构合理，职责分工明确得5分； 组织管理能力较强，项目管理成员结构较合理，职责分工较明确得4分；组织管理能力相对较强，项目管理成员结构相对较合理，职责分工相对较明确得3分；有一定的组织管理能力，项目管理成员结构有一定的合理性，职责分工有一定的明确性得2分；组织管理能力，项目管理成员结构，职责分工均较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工作重、难点分析及解决</w:t>
            </w:r>
          </w:p>
        </w:tc>
        <w:tc>
          <w:tcPr>
            <w:tcW w:type="dxa" w:w="2492"/>
          </w:tcPr>
          <w:p>
            <w:pPr>
              <w:pStyle w:val="null3"/>
            </w:pPr>
            <w:r>
              <w:rPr>
                <w:rFonts w:ascii="仿宋_GB2312" w:hAnsi="仿宋_GB2312" w:cs="仿宋_GB2312" w:eastAsia="仿宋_GB2312"/>
              </w:rPr>
              <w:t>供应商提供针对本项目工作重点、难点分析及解决方案，对重点、难点分析准确，解决方案针对性强的得6分； 对重点、难点分析较准确、提出的解决方案有一定的针对性和可行性的得5分； 对重点、难点分析相对准确、提出的解决方案具有针对性和可行性的得4分；对重点、难点分析基本准确，解决方案部分具有针对性和可行性的得3分；对重点、难点分析与项目实际情况存在偏离，部分解决方案的可行和合理的得2分； 对重点、难点有分析不准确，解决方案合理性、可行性差的得1分；未提供相关内容不得分。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现场调查方案</w:t>
            </w:r>
          </w:p>
        </w:tc>
        <w:tc>
          <w:tcPr>
            <w:tcW w:type="dxa" w:w="2492"/>
          </w:tcPr>
          <w:p>
            <w:pPr>
              <w:pStyle w:val="null3"/>
            </w:pPr>
            <w:r>
              <w:rPr>
                <w:rFonts w:ascii="仿宋_GB2312" w:hAnsi="仿宋_GB2312" w:cs="仿宋_GB2312" w:eastAsia="仿宋_GB2312"/>
              </w:rPr>
              <w:t>根据本项目采购需求并结合项目实际，制定现场踏勘和调查的方案，方案得当、合理、规范，可行性强得7分；方案比较合理和规范，可行性较强得6分；方案较合理，具有可行性得5分；方案合理，有一定可行性得4分； 方案基本，可行性一般得3分；方案简单，基本可行得2分；方案缺漏，不利于项目实施得1分；未提供相关内容不得分。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供应商提供2022年1月1日至今的类似项目业绩。每提供一项得2分，最高得10分；业绩证明以合同签订时间为准，（供应商应在竞争性磋商响应文件中提供业绩合同电子件或扫描件）。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详见附件：符合性证明文件.docx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详见附件：土壤污染调查合同(1).docx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