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版本号：SXZM-GK-2025025.20250901001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西安市鄠邑区2025年供应计划商住用地土地整备规划条件编制项目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SXZM-GK-2025025.</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陕西正明项目管理有限公司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陕西正明项目管理有限公司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西安市鄠邑区2025年供应计划商住用地土地整备规划条件编制项目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SXZM-GK-2025025.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西安市鄠邑区2025年供应计划商住用地土地整备规划条件编制项目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工作以鄠邑区内的近期供应项目为规划对象；本次工作包括用地12宗，用地规模约600亩，单宗地规划条件编制费用最高限价：260000.00元/宗。年度供应计划外的成熟项目，可走提前批使用或替换年度供应计划内同等规模项目指标，完成评估事项。最终按实际发生费用，据实结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1、营业执照等主体资格证明文件：提供有效存续的企业营业执照（副本）/事业单位法人证书/专业服务机构执业许可证/民办非企业单位登记证书/自然人身份证明； 评审依据：投标文件文件中所附材料为准。</w:t>
      </w:r>
    </w:p>
    <w:p>
      <w:pPr>
        <w:pStyle w:val="null3"/>
      </w:pPr>
      <w:r>
        <w:rPr>
          <w:rFonts w:ascii="仿宋_GB2312" w:hAnsi="仿宋_GB2312" w:cs="仿宋_GB2312" w:eastAsia="仿宋_GB2312"/>
        </w:rPr>
        <w:t>2、财务状况报告：提供具有经审计资质单位出具的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 评审依据：投标文件中所附证明材料为准</w:t>
      </w:r>
    </w:p>
    <w:p>
      <w:pPr>
        <w:pStyle w:val="null3"/>
      </w:pPr>
      <w:r>
        <w:rPr>
          <w:rFonts w:ascii="仿宋_GB2312" w:hAnsi="仿宋_GB2312" w:cs="仿宋_GB2312" w:eastAsia="仿宋_GB2312"/>
        </w:rPr>
        <w:t>3、社保缴纳证明：提供开标时间前6个月内任意时段的缴纳证明。依法不需要交纳社会保障资金的供应商应提供相关文件证明。 评审依据：投标文件中所附证明材料为准</w:t>
      </w:r>
    </w:p>
    <w:p>
      <w:pPr>
        <w:pStyle w:val="null3"/>
      </w:pPr>
      <w:r>
        <w:rPr>
          <w:rFonts w:ascii="仿宋_GB2312" w:hAnsi="仿宋_GB2312" w:cs="仿宋_GB2312" w:eastAsia="仿宋_GB2312"/>
        </w:rPr>
        <w:t>4、税收缴纳证明：提供开标时间前6个月内任意时段的纳税证明或完税证明（除印花税外任意税种），纳税证明或完税证明上应有代收机构或税务机关的公章或业务专用章。依法免税的供应商应提供相关文件证明。 评审依据：投标文件中所附证明材料为准</w:t>
      </w:r>
    </w:p>
    <w:p>
      <w:pPr>
        <w:pStyle w:val="null3"/>
      </w:pPr>
      <w:r>
        <w:rPr>
          <w:rFonts w:ascii="仿宋_GB2312" w:hAnsi="仿宋_GB2312" w:cs="仿宋_GB2312" w:eastAsia="仿宋_GB2312"/>
        </w:rPr>
        <w:t>5、履行合同承诺函：提供具有履行合同所必需的设备和专业技术能力的承诺函。 评审依据：投标文件中所附履行合同承诺函为准</w:t>
      </w:r>
    </w:p>
    <w:p>
      <w:pPr>
        <w:pStyle w:val="null3"/>
      </w:pPr>
      <w:r>
        <w:rPr>
          <w:rFonts w:ascii="仿宋_GB2312" w:hAnsi="仿宋_GB2312" w:cs="仿宋_GB2312" w:eastAsia="仿宋_GB2312"/>
        </w:rPr>
        <w:t>6、无重大违法记录书面声明：提供参加政府采购活动前3年内，在经营活动中没有重大违法记录的书面声明。 评审依据：投标文件中所附无重大违法记录书面声明为准</w:t>
      </w:r>
    </w:p>
    <w:p>
      <w:pPr>
        <w:pStyle w:val="null3"/>
      </w:pPr>
      <w:r>
        <w:rPr>
          <w:rFonts w:ascii="仿宋_GB2312" w:hAnsi="仿宋_GB2312" w:cs="仿宋_GB2312" w:eastAsia="仿宋_GB2312"/>
        </w:rPr>
        <w:t>7、法定代表人（或负责人）身份证明/法定代表人（或负责人）授权委托书：法定代表人（或负责人）直接参加投标的，须提供法定代表人（或负责人）身份证明及其身份证电子件或扫描件；法定代表人（或负责人）授权他人参加投标的，须提供法定代表人（或负责人）授权委托书（附法定代表人（或负责人）、被授权人身份证电子件或扫描件）。 评审依据：投标文件中所附证明材料为准</w:t>
      </w:r>
    </w:p>
    <w:p>
      <w:pPr>
        <w:pStyle w:val="null3"/>
      </w:pPr>
      <w:r>
        <w:rPr>
          <w:rFonts w:ascii="仿宋_GB2312" w:hAnsi="仿宋_GB2312" w:cs="仿宋_GB2312" w:eastAsia="仿宋_GB2312"/>
        </w:rPr>
        <w:t>8、供应商资质：供应商需具有行业主管部门颁发的城乡规划编制乙级（含乙级）以上资质或土地规划编制乙级（含乙级）以上资质： 评审依据：投标文件中所附证明材料为准</w:t>
      </w:r>
    </w:p>
    <w:p>
      <w:pPr>
        <w:pStyle w:val="null3"/>
      </w:pPr>
      <w:r>
        <w:rPr>
          <w:rFonts w:ascii="仿宋_GB2312" w:hAnsi="仿宋_GB2312" w:cs="仿宋_GB2312" w:eastAsia="仿宋_GB2312"/>
        </w:rPr>
        <w:t>9、信用记录声明：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 评审依据：投标文件中所附证明材料原件及网查信息</w:t>
      </w:r>
    </w:p>
    <w:p>
      <w:pPr>
        <w:pStyle w:val="null3"/>
      </w:pPr>
      <w:r>
        <w:rPr>
          <w:rFonts w:ascii="仿宋_GB2312" w:hAnsi="仿宋_GB2312" w:cs="仿宋_GB2312" w:eastAsia="仿宋_GB2312"/>
        </w:rPr>
        <w:t>10、控股管理关系承诺书：单位负责人为同一人或者存在直接控股、管理关系的供应商，不得参加同一合同下的政府采购活动。 评审依据：投标文件中所附证明材料为准</w:t>
      </w:r>
    </w:p>
    <w:p>
      <w:pPr>
        <w:pStyle w:val="null3"/>
      </w:pPr>
      <w:r>
        <w:rPr>
          <w:rFonts w:ascii="仿宋_GB2312" w:hAnsi="仿宋_GB2312" w:cs="仿宋_GB2312" w:eastAsia="仿宋_GB2312"/>
        </w:rPr>
        <w:t>11、供应商书面声明：供应商未为本项目提供整体设计、规范编制或者项目管理、监理、检测等服务的书面声明。 评审依据：投标文件中所附证明材料为准</w:t>
      </w:r>
    </w:p>
    <w:p>
      <w:pPr>
        <w:pStyle w:val="null3"/>
      </w:pPr>
      <w:r>
        <w:rPr>
          <w:rFonts w:ascii="仿宋_GB2312" w:hAnsi="仿宋_GB2312" w:cs="仿宋_GB2312" w:eastAsia="仿宋_GB2312"/>
        </w:rPr>
        <w:t>12、供应商参与投标的承诺函：符合招标文件要求。 评审依据：投标文件中所附证明材料为准</w:t>
      </w:r>
    </w:p>
    <w:p>
      <w:pPr>
        <w:pStyle w:val="null3"/>
      </w:pPr>
      <w:r>
        <w:rPr>
          <w:rFonts w:ascii="仿宋_GB2312" w:hAnsi="仿宋_GB2312" w:cs="仿宋_GB2312" w:eastAsia="仿宋_GB2312"/>
        </w:rPr>
        <w:t>13、本项目不接受联合体投标，不允许分包：符合招标文件要求。 评审依据：投标文件中所附证明材料为准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陕西省西安市鄠邑区兆丰西路3号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029-84820116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陕西省西安市雁塔区科技二路71号竹园天寰国际1807室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樊睿、刘晨星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029-88811335/13109548638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标准执行。 中标服务费交纳账户： 户 名：陕西正明项目管理有限公司 开户行：中国民生银行股份有限公司西安枫林绿洲支行 账 号：170455461 请中标供应商按照要求将服务费汇入以上指定账户，如因自身原因发生错误，产生的不利后果均由供应商自行承担。 招标代理服务费按约定由中标供应商支付，中标供应商在领取中标通知书前，须向采购代理机构支付招标代理服务费。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陕西正明项目管理有限公司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联系人：樊睿、刘晨星</w:t>
      </w:r>
    </w:p>
    <w:p>
      <w:pPr>
        <w:pStyle w:val="null3"/>
      </w:pPr>
      <w:r>
        <w:rPr>
          <w:rFonts w:ascii="仿宋_GB2312" w:hAnsi="仿宋_GB2312" w:cs="仿宋_GB2312" w:eastAsia="仿宋_GB2312"/>
        </w:rPr>
        <w:t>联系电话：029-88811335/13109548638</w:t>
      </w:r>
    </w:p>
    <w:p>
      <w:pPr>
        <w:pStyle w:val="null3"/>
      </w:pPr>
      <w:r>
        <w:rPr>
          <w:rFonts w:ascii="仿宋_GB2312" w:hAnsi="仿宋_GB2312" w:cs="仿宋_GB2312" w:eastAsia="仿宋_GB2312"/>
        </w:rPr>
        <w:t>地址：陕西省西安市雁塔区科技二路71号竹园天寰国际1807室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工作以鄠邑区内的近期供应项目为规划对象；本次工作包括用地12宗，用地规模约600亩，单宗地规划条件编制费用最高限价：260000.00元/宗。年度供应计划外的成熟项目，可走提前批使用或替换年度供应计划内同等规模项目指标，完成评估事项。最终按实际发生费用，据实结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3,120,000.00</w:t>
      </w:r>
    </w:p>
    <w:p>
      <w:pPr>
        <w:pStyle w:val="null3"/>
      </w:pPr>
      <w:r>
        <w:rPr>
          <w:rFonts w:ascii="仿宋_GB2312" w:hAnsi="仿宋_GB2312" w:cs="仿宋_GB2312" w:eastAsia="仿宋_GB2312"/>
        </w:rPr>
        <w:t>采购包最高限价（元）: 3,120,000.00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西安市鄠邑区2025年供应计划商住用地土地整备规划条件编制项目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标的名称：西安市鄠邑区2025年供应计划商住用地土地整备规划条件编制项目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一、项目名称：</w:t>
            </w:r>
            <w:r>
              <w:rPr>
                <w:rFonts w:ascii="仿宋_GB2312" w:hAnsi="仿宋_GB2312" w:cs="仿宋_GB2312" w:eastAsia="仿宋_GB2312"/>
                <w:sz w:val="21"/>
              </w:rPr>
              <w:t xml:space="preserve">西安市鄠邑区2025年供应计划商住用地土地整备规划条件编制项目 </w:t>
            </w:r>
          </w:p>
          <w:p>
            <w:pPr>
              <w:pStyle w:val="null3"/>
              <w:jc w:val="both"/>
            </w:pPr>
            <w:r>
              <w:rPr>
                <w:rFonts w:ascii="仿宋_GB2312" w:hAnsi="仿宋_GB2312" w:cs="仿宋_GB2312" w:eastAsia="仿宋_GB2312"/>
                <w:sz w:val="21"/>
                <w:b/>
              </w:rPr>
              <w:t>二、工作范围：</w:t>
            </w:r>
            <w:r>
              <w:rPr>
                <w:rFonts w:ascii="仿宋_GB2312" w:hAnsi="仿宋_GB2312" w:cs="仿宋_GB2312" w:eastAsia="仿宋_GB2312"/>
                <w:sz w:val="21"/>
              </w:rPr>
              <w:t>本次工作以鄠邑区内的近期供应项目为规划对象；本次工作包括用地12宗，用地规模约600亩，单宗地规划条件编制费用最高限价：260000.00元/宗。年度供应计划外的成熟项目，可走提前批使用或替换年度供应计划内同等规模项目指标，完成评估事项。最终按实际发生费用，据实结算。</w:t>
            </w:r>
          </w:p>
          <w:p>
            <w:pPr>
              <w:pStyle w:val="null3"/>
              <w:jc w:val="left"/>
            </w:pPr>
            <w:r>
              <w:rPr>
                <w:rFonts w:ascii="仿宋_GB2312" w:hAnsi="仿宋_GB2312" w:cs="仿宋_GB2312" w:eastAsia="仿宋_GB2312"/>
                <w:sz w:val="21"/>
                <w:b/>
              </w:rPr>
              <w:t>三、相关技术规范标准参考要求</w:t>
            </w:r>
          </w:p>
          <w:p>
            <w:pPr>
              <w:pStyle w:val="null3"/>
              <w:ind w:firstLine="480"/>
              <w:jc w:val="both"/>
            </w:pPr>
            <w:r>
              <w:rPr>
                <w:rFonts w:ascii="仿宋_GB2312" w:hAnsi="仿宋_GB2312" w:cs="仿宋_GB2312" w:eastAsia="仿宋_GB2312"/>
                <w:sz w:val="21"/>
              </w:rPr>
              <w:t>1、《中华人民共和国城乡规划法》</w:t>
            </w:r>
          </w:p>
          <w:p>
            <w:pPr>
              <w:pStyle w:val="null3"/>
              <w:ind w:firstLine="480"/>
              <w:jc w:val="both"/>
            </w:pPr>
            <w:r>
              <w:rPr>
                <w:rFonts w:ascii="仿宋_GB2312" w:hAnsi="仿宋_GB2312" w:cs="仿宋_GB2312" w:eastAsia="仿宋_GB2312"/>
                <w:sz w:val="21"/>
              </w:rPr>
              <w:t>2、《中华人民共和国土地管理法》</w:t>
            </w:r>
          </w:p>
          <w:p>
            <w:pPr>
              <w:pStyle w:val="null3"/>
              <w:ind w:firstLine="480"/>
              <w:jc w:val="both"/>
            </w:pPr>
            <w:r>
              <w:rPr>
                <w:rFonts w:ascii="仿宋_GB2312" w:hAnsi="仿宋_GB2312" w:cs="仿宋_GB2312" w:eastAsia="仿宋_GB2312"/>
                <w:sz w:val="21"/>
              </w:rPr>
              <w:t>3、《国土空间调查、规划、用途管制用地用海分类指南》（自然资发〔2023〕234号）</w:t>
            </w:r>
          </w:p>
          <w:p>
            <w:pPr>
              <w:pStyle w:val="null3"/>
              <w:ind w:firstLine="480"/>
              <w:jc w:val="both"/>
            </w:pPr>
            <w:r>
              <w:rPr>
                <w:rFonts w:ascii="仿宋_GB2312" w:hAnsi="仿宋_GB2312" w:cs="仿宋_GB2312" w:eastAsia="仿宋_GB2312"/>
                <w:sz w:val="21"/>
              </w:rPr>
              <w:t>4、《城市居住区规划设计标准》（GB50180-2018）</w:t>
            </w:r>
          </w:p>
          <w:p>
            <w:pPr>
              <w:pStyle w:val="null3"/>
              <w:ind w:firstLine="480"/>
              <w:jc w:val="both"/>
            </w:pPr>
            <w:r>
              <w:rPr>
                <w:rFonts w:ascii="仿宋_GB2312" w:hAnsi="仿宋_GB2312" w:cs="仿宋_GB2312" w:eastAsia="仿宋_GB2312"/>
                <w:sz w:val="21"/>
              </w:rPr>
              <w:t>5、《民用建筑通用规范》（GB55031-2022）</w:t>
            </w:r>
          </w:p>
          <w:p>
            <w:pPr>
              <w:pStyle w:val="null3"/>
              <w:ind w:firstLine="480"/>
              <w:jc w:val="both"/>
            </w:pPr>
            <w:r>
              <w:rPr>
                <w:rFonts w:ascii="仿宋_GB2312" w:hAnsi="仿宋_GB2312" w:cs="仿宋_GB2312" w:eastAsia="仿宋_GB2312"/>
                <w:sz w:val="21"/>
              </w:rPr>
              <w:t>6、《西安市居住区公建配套设施建设管理办法》</w:t>
            </w:r>
          </w:p>
          <w:p>
            <w:pPr>
              <w:pStyle w:val="null3"/>
              <w:ind w:firstLine="480"/>
              <w:jc w:val="both"/>
            </w:pPr>
            <w:r>
              <w:rPr>
                <w:rFonts w:ascii="仿宋_GB2312" w:hAnsi="仿宋_GB2312" w:cs="仿宋_GB2312" w:eastAsia="仿宋_GB2312"/>
                <w:sz w:val="21"/>
              </w:rPr>
              <w:t>7、《西安市国土空间规划编制管理及审批办法（试行）》</w:t>
            </w:r>
          </w:p>
          <w:p>
            <w:pPr>
              <w:pStyle w:val="null3"/>
              <w:ind w:firstLine="480"/>
              <w:jc w:val="both"/>
            </w:pPr>
            <w:r>
              <w:rPr>
                <w:rFonts w:ascii="仿宋_GB2312" w:hAnsi="仿宋_GB2312" w:cs="仿宋_GB2312" w:eastAsia="仿宋_GB2312"/>
                <w:sz w:val="21"/>
              </w:rPr>
              <w:t>8、《西安市国土空间城镇开发边界内详细规划编制审批管理实施监督暂行规定》</w:t>
            </w:r>
          </w:p>
          <w:p>
            <w:pPr>
              <w:pStyle w:val="null3"/>
              <w:ind w:firstLine="480"/>
              <w:jc w:val="both"/>
            </w:pPr>
            <w:r>
              <w:rPr>
                <w:rFonts w:ascii="仿宋_GB2312" w:hAnsi="仿宋_GB2312" w:cs="仿宋_GB2312" w:eastAsia="仿宋_GB2312"/>
                <w:sz w:val="21"/>
              </w:rPr>
              <w:t>9、《西安市城镇开发边界内详细规划编制审批管理和实施操作流程（暂行）》</w:t>
            </w:r>
          </w:p>
          <w:p>
            <w:pPr>
              <w:pStyle w:val="null3"/>
              <w:ind w:firstLine="480"/>
              <w:jc w:val="both"/>
            </w:pPr>
            <w:r>
              <w:rPr>
                <w:rFonts w:ascii="仿宋_GB2312" w:hAnsi="仿宋_GB2312" w:cs="仿宋_GB2312" w:eastAsia="仿宋_GB2312"/>
                <w:sz w:val="21"/>
              </w:rPr>
              <w:t>10、《西安市城镇开发边界内详细规划编制相关指引（试行）》</w:t>
            </w:r>
          </w:p>
          <w:p>
            <w:pPr>
              <w:pStyle w:val="null3"/>
              <w:ind w:firstLine="480"/>
              <w:jc w:val="both"/>
            </w:pPr>
            <w:r>
              <w:rPr>
                <w:rFonts w:ascii="仿宋_GB2312" w:hAnsi="仿宋_GB2312" w:cs="仿宋_GB2312" w:eastAsia="仿宋_GB2312"/>
                <w:sz w:val="21"/>
              </w:rPr>
              <w:t>11、《西安市城乡规划管理技术规定（试行—第二版）》</w:t>
            </w:r>
          </w:p>
          <w:p>
            <w:pPr>
              <w:pStyle w:val="null3"/>
              <w:ind w:firstLine="480"/>
              <w:jc w:val="both"/>
            </w:pPr>
            <w:r>
              <w:rPr>
                <w:rFonts w:ascii="仿宋_GB2312" w:hAnsi="仿宋_GB2312" w:cs="仿宋_GB2312" w:eastAsia="仿宋_GB2312"/>
                <w:sz w:val="21"/>
              </w:rPr>
              <w:t>12、《做好近期详细规划编制审批管理及实施监督相关工作》</w:t>
            </w:r>
          </w:p>
          <w:p>
            <w:pPr>
              <w:pStyle w:val="null3"/>
              <w:ind w:firstLine="480"/>
              <w:jc w:val="both"/>
            </w:pPr>
            <w:r>
              <w:rPr>
                <w:rFonts w:ascii="仿宋_GB2312" w:hAnsi="仿宋_GB2312" w:cs="仿宋_GB2312" w:eastAsia="仿宋_GB2312"/>
                <w:sz w:val="21"/>
              </w:rPr>
              <w:t>13、国家、省、市其他相关技术规范与标准</w:t>
            </w:r>
          </w:p>
          <w:p>
            <w:pPr>
              <w:pStyle w:val="null3"/>
              <w:jc w:val="left"/>
            </w:pPr>
            <w:r>
              <w:rPr>
                <w:rFonts w:ascii="仿宋_GB2312" w:hAnsi="仿宋_GB2312" w:cs="仿宋_GB2312" w:eastAsia="仿宋_GB2312"/>
                <w:sz w:val="21"/>
                <w:b/>
              </w:rPr>
              <w:t>四、本项目主要工作内容</w:t>
            </w:r>
          </w:p>
          <w:p>
            <w:pPr>
              <w:pStyle w:val="null3"/>
              <w:ind w:firstLine="480"/>
              <w:jc w:val="both"/>
            </w:pPr>
            <w:r>
              <w:rPr>
                <w:rFonts w:ascii="仿宋_GB2312" w:hAnsi="仿宋_GB2312" w:cs="仿宋_GB2312" w:eastAsia="仿宋_GB2312"/>
                <w:sz w:val="21"/>
              </w:rPr>
              <w:t>本次工作立足近期供应土地，依据相关法律法规及规范标准、地方政策要求编制实施详细规划。主要工作内容包括：</w:t>
            </w:r>
          </w:p>
          <w:p>
            <w:pPr>
              <w:pStyle w:val="null3"/>
              <w:ind w:firstLine="480"/>
              <w:jc w:val="both"/>
            </w:pPr>
            <w:r>
              <w:rPr>
                <w:rFonts w:ascii="仿宋_GB2312" w:hAnsi="仿宋_GB2312" w:cs="仿宋_GB2312" w:eastAsia="仿宋_GB2312"/>
                <w:sz w:val="21"/>
              </w:rPr>
              <w:t>1、分析项目基本情况及现状建设条件，衔接鄠邑区国土空间总体规划(2021-2035年)、鄠邑区单元详细规划及相关专项规划等上位规划要求。</w:t>
            </w:r>
          </w:p>
          <w:p>
            <w:pPr>
              <w:pStyle w:val="null3"/>
              <w:ind w:firstLine="480"/>
              <w:jc w:val="both"/>
            </w:pPr>
            <w:r>
              <w:rPr>
                <w:rFonts w:ascii="仿宋_GB2312" w:hAnsi="仿宋_GB2312" w:cs="仿宋_GB2312" w:eastAsia="仿宋_GB2312"/>
                <w:sz w:val="21"/>
              </w:rPr>
              <w:t>2、细化落实上位规划的传导内容，核实土地权属，划定地块边界，确定地块的用地性质。</w:t>
            </w:r>
          </w:p>
          <w:p>
            <w:pPr>
              <w:pStyle w:val="null3"/>
              <w:ind w:firstLine="480"/>
              <w:jc w:val="both"/>
            </w:pPr>
            <w:r>
              <w:rPr>
                <w:rFonts w:ascii="仿宋_GB2312" w:hAnsi="仿宋_GB2312" w:cs="仿宋_GB2312" w:eastAsia="仿宋_GB2312"/>
                <w:sz w:val="21"/>
              </w:rPr>
              <w:t>3、考虑现状、规划各项指标，形成本项目规划条件涉及的容积率、建筑密度、绿地率、建筑控制线等控制指标和要求。</w:t>
            </w:r>
          </w:p>
          <w:p>
            <w:pPr>
              <w:pStyle w:val="null3"/>
              <w:ind w:firstLine="480"/>
              <w:jc w:val="both"/>
            </w:pPr>
            <w:r>
              <w:rPr>
                <w:rFonts w:ascii="仿宋_GB2312" w:hAnsi="仿宋_GB2312" w:cs="仿宋_GB2312" w:eastAsia="仿宋_GB2312"/>
                <w:sz w:val="21"/>
              </w:rPr>
              <w:t>4、按照西安市国土空间规划城市设计导则，提出城市设计指引，包含风貌管控和色彩管控内容。</w:t>
            </w:r>
          </w:p>
          <w:p>
            <w:pPr>
              <w:pStyle w:val="null3"/>
              <w:ind w:firstLine="480"/>
              <w:jc w:val="both"/>
            </w:pPr>
            <w:r>
              <w:rPr>
                <w:rFonts w:ascii="仿宋_GB2312" w:hAnsi="仿宋_GB2312" w:cs="仿宋_GB2312" w:eastAsia="仿宋_GB2312"/>
                <w:sz w:val="21"/>
              </w:rPr>
              <w:t>5、按照西安市海绵城市专项规划，提出项目建设须满足的海绵城市建设要求。</w:t>
            </w:r>
          </w:p>
          <w:p>
            <w:pPr>
              <w:pStyle w:val="null3"/>
              <w:ind w:firstLine="480"/>
              <w:jc w:val="both"/>
            </w:pPr>
            <w:r>
              <w:rPr>
                <w:rFonts w:ascii="仿宋_GB2312" w:hAnsi="仿宋_GB2312" w:cs="仿宋_GB2312" w:eastAsia="仿宋_GB2312"/>
                <w:sz w:val="21"/>
              </w:rPr>
              <w:t>6、按照拟建设地块范围提出设计意向方案，建筑布局、交通组织、建筑风貌等内容应符合上述要求。</w:t>
            </w:r>
          </w:p>
          <w:p>
            <w:pPr>
              <w:pStyle w:val="null3"/>
              <w:ind w:firstLine="480"/>
              <w:jc w:val="both"/>
            </w:pPr>
            <w:r>
              <w:rPr>
                <w:rFonts w:ascii="仿宋_GB2312" w:hAnsi="仿宋_GB2312" w:cs="仿宋_GB2312" w:eastAsia="仿宋_GB2312"/>
                <w:sz w:val="21"/>
              </w:rPr>
              <w:t>7、其他服务内容:</w:t>
            </w:r>
          </w:p>
          <w:p>
            <w:pPr>
              <w:pStyle w:val="null3"/>
              <w:ind w:firstLine="480"/>
              <w:jc w:val="both"/>
            </w:pPr>
            <w:r>
              <w:rPr>
                <w:rFonts w:ascii="仿宋_GB2312" w:hAnsi="仿宋_GB2312" w:cs="仿宋_GB2312" w:eastAsia="仿宋_GB2312"/>
                <w:sz w:val="21"/>
              </w:rPr>
              <w:t>项目负责人须具备相关专业技术知识、熟悉审批业务规程。在项目所在地长期驻点并及时配合甲方开展相关工作，并就存在问题与主管部门及时沟通。</w:t>
            </w:r>
          </w:p>
          <w:p>
            <w:pPr>
              <w:pStyle w:val="null3"/>
              <w:jc w:val="both"/>
            </w:pPr>
            <w:r>
              <w:rPr>
                <w:rFonts w:ascii="仿宋_GB2312" w:hAnsi="仿宋_GB2312" w:cs="仿宋_GB2312" w:eastAsia="仿宋_GB2312"/>
                <w:sz w:val="21"/>
                <w:b/>
              </w:rPr>
              <w:t>五、体系成果</w:t>
            </w:r>
          </w:p>
          <w:p>
            <w:pPr>
              <w:pStyle w:val="null3"/>
              <w:ind w:firstLine="480"/>
              <w:jc w:val="both"/>
            </w:pPr>
            <w:r>
              <w:rPr>
                <w:rFonts w:ascii="仿宋_GB2312" w:hAnsi="仿宋_GB2312" w:cs="仿宋_GB2312" w:eastAsia="仿宋_GB2312"/>
                <w:sz w:val="21"/>
              </w:rPr>
              <w:t>按照上述工作，成果体系包括汇报文稿、说明书、技术图纸数据库、图则，最终成果内容以甲方要求为准。</w:t>
            </w:r>
          </w:p>
          <w:p>
            <w:pPr>
              <w:pStyle w:val="null3"/>
              <w:jc w:val="left"/>
            </w:pPr>
            <w:r>
              <w:rPr>
                <w:rFonts w:ascii="仿宋_GB2312" w:hAnsi="仿宋_GB2312" w:cs="仿宋_GB2312" w:eastAsia="仿宋_GB2312"/>
                <w:sz w:val="21"/>
                <w:b/>
              </w:rPr>
              <w:t>六、成果文件要求</w:t>
            </w:r>
          </w:p>
          <w:p>
            <w:pPr>
              <w:pStyle w:val="null3"/>
              <w:ind w:firstLine="480"/>
              <w:jc w:val="both"/>
            </w:pPr>
            <w:r>
              <w:rPr>
                <w:rFonts w:ascii="仿宋_GB2312" w:hAnsi="仿宋_GB2312" w:cs="仿宋_GB2312" w:eastAsia="仿宋_GB2312"/>
                <w:sz w:val="21"/>
              </w:rPr>
              <w:t>按照国家有关规定及合同要求，保质保量按时完成规划设计任务，提交如下规划设计成果：彩色成果图五套（含说明书等文字材料及彩色图集），电子版文件一套（光盘或U盘）。</w:t>
            </w:r>
          </w:p>
          <w:p>
            <w:pPr>
              <w:pStyle w:val="null3"/>
              <w:jc w:val="both"/>
            </w:pPr>
            <w:r>
              <w:rPr>
                <w:rFonts w:ascii="仿宋_GB2312" w:hAnsi="仿宋_GB2312" w:cs="仿宋_GB2312" w:eastAsia="仿宋_GB2312"/>
                <w:sz w:val="21"/>
                <w:b/>
              </w:rPr>
              <w:t>七、商务要求</w:t>
            </w:r>
          </w:p>
          <w:p>
            <w:pPr>
              <w:pStyle w:val="null3"/>
              <w:numPr>
                <w:ilvl w:val="0"/>
                <w:numId w:val="1"/>
              </w:numPr>
              <w:jc w:val="both"/>
            </w:pPr>
            <w:r>
              <w:rPr>
                <w:rFonts w:ascii="仿宋_GB2312" w:hAnsi="仿宋_GB2312" w:cs="仿宋_GB2312" w:eastAsia="仿宋_GB2312"/>
                <w:sz w:val="21"/>
              </w:rPr>
              <w:t>付款方式：根据乙方每季度实际完成的工作量在每季度末据实结算，结算前乙方须向甲方提供本季度完成的实际工作量及结算金额，经甲方确认后提供等额增值税发票进行结算付款。</w:t>
            </w:r>
          </w:p>
          <w:p>
            <w:pPr>
              <w:pStyle w:val="null3"/>
              <w:numPr>
                <w:ilvl w:val="0"/>
                <w:numId w:val="1"/>
              </w:numPr>
              <w:jc w:val="both"/>
            </w:pPr>
            <w:r>
              <w:rPr>
                <w:rFonts w:ascii="仿宋_GB2312" w:hAnsi="仿宋_GB2312" w:cs="仿宋_GB2312" w:eastAsia="仿宋_GB2312"/>
                <w:sz w:val="21"/>
              </w:rPr>
              <w:t>服务期限：</w:t>
            </w:r>
            <w:r>
              <w:rPr>
                <w:rFonts w:ascii="仿宋_GB2312" w:hAnsi="仿宋_GB2312" w:cs="仿宋_GB2312" w:eastAsia="仿宋_GB2312"/>
                <w:sz w:val="21"/>
              </w:rPr>
              <w:t>自合同签订之日起至2026年底前完成。</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根据乙方每季度实际完成的工作量在每季度末据实结算，结算前乙方须向甲方提供本季度完成的实际工作量及结算金额，经甲方确认后提供等额增值税发票进行结算付款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根据乙方每季度实际完成的工作量在每季度末据实结算，结算前乙方须向甲方提供本季度完成的实际工作量及结算金额，经甲方确认后提供等额增值税发票进行结算付款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根据乙方每季度实际完成的工作量在每季度末据实结算，结算前乙方须向甲方提供本季度完成的实际工作量及结算金额，经甲方确认后提供等额增值税发票进行结算付款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根据乙方每季度实际完成的工作量在每季度末据实结算，结算前乙方须向甲方提供本季度完成的实际工作量及结算金额，经甲方确认后提供等额增值税发票进行结算付款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在合同履行期间，甲方要求终止或解除合同，已开始工作的，甲方应全部支付乙方已进行的该阶段工作费用。 2 甲方应按本合同第九条规定的金额和时间向乙方支付合同款项。 3 甲方变更委托项目、规模、条件，或因提交的资料错误，或所提资料作重大修改，或因相关主管部门要求而作重大修改，以致造成乙方需返工时，除非甲、乙双方需另行协商签订补充合同（或另订合同）或重新明确有关条款外，甲方应按乙方所耗工作量向乙方支付返工费，返工费具体金额经双方另行协商确认并在乙方返工工作开始前完成支付。 4 因乙方责任造成工作重大返工或重作的，乙方不得另行收费。 5 乙方由于自身过错，延误按本合同规定的规划设计成果交付时间，每延误一天，应减收当期应收费用的2‰作为延误违约金，延误违约金上限为当期应收费用的10%。 6 合同生效后，非因甲方原因且无任何其他合理理由乙方要求终止或解除合同的，乙方应退回所有已收款项。 7 如果本合同因非乙方过错在执行中途被终止，甲方应根据乙方已进行的该阶段工作，支付该阶段工作的全部费用，同时乙方将不对终止时的阶段性设计文件的准确性及可行性负责。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第一部分资格证明文件.docx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提供有效存续的企业营业执照（副本）/事业单位法人证书/专业服务机构执业许可证/民办非企业单位登记证书/自然人身份证明； 评审依据：投标文件文件中所附材料为准。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提供开标时间前6个月内任意时段的缴纳证明。依法不需要交纳社会保障资金的供应商应提供相关文件证明。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提供开标时间前6个月内任意时段的纳税证明或完税证明（除印花税外任意税种），纳税证明或完税证明上应有代收机构或税务机关的公章或业务专用章。依法免税的供应商应提供相关文件证明。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提供具有履行合同所必需的设备和专业技术能力的承诺函。 评审依据：投标文件中所附履行合同承诺函为准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 评审依据：投标文件中所附无重大违法记录书面声明为准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法定代表人（或负责人）身份证明/法定代表人（或负责人）授权委托书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明及其身份证电子件或扫描件；法定代表人（或负责人）授权他人参加投标的，须提供法定代表人（或负责人）授权委托书（附法定代表人（或负责人）、被授权人身份证电子件或扫描件）。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供应商需具有行业主管部门颁发的城乡规划编制乙级（含乙级）以上资质或土地规划编制乙级（含乙级）以上资质：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信用记录声明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案件当事人”名单；不处于“中国政府采购网”记录的“政府采购严重违法失信行为记录名单 ”中的禁止参加政府采购活动期间。 评审依据：投标文件中所附证明材料原件及网查信息</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控股管理关系承诺书</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供应商书面声明</w:t>
            </w:r>
          </w:p>
        </w:tc>
        <w:tc>
          <w:tcPr>
            <w:tcW w:type="dxa" w:w="3322"/>
          </w:tcPr>
          <w:p>
            <w:pPr>
              <w:pStyle w:val="null3"/>
            </w:pPr>
            <w:r>
              <w:rPr>
                <w:rFonts w:ascii="仿宋_GB2312" w:hAnsi="仿宋_GB2312" w:cs="仿宋_GB2312" w:eastAsia="仿宋_GB2312"/>
              </w:rPr>
              <w:t>供应商未为本项目提供整体设计、规范编制或者项目管理、监理、检测等服务的书面声明。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供应商参与投标的承诺函</w:t>
            </w:r>
          </w:p>
        </w:tc>
        <w:tc>
          <w:tcPr>
            <w:tcW w:type="dxa" w:w="3322"/>
          </w:tcPr>
          <w:p>
            <w:pPr>
              <w:pStyle w:val="null3"/>
            </w:pPr>
            <w:r>
              <w:rPr>
                <w:rFonts w:ascii="仿宋_GB2312" w:hAnsi="仿宋_GB2312" w:cs="仿宋_GB2312" w:eastAsia="仿宋_GB2312"/>
              </w:rPr>
              <w:t>符合招标文件要求。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符合招标文件要求。 评审依据：投标文件中所附证明材料为准</w:t>
            </w:r>
          </w:p>
        </w:tc>
        <w:tc>
          <w:tcPr>
            <w:tcW w:type="dxa" w:w="1661"/>
          </w:tcPr>
          <w:p>
            <w:pPr>
              <w:pStyle w:val="null3"/>
            </w:pPr>
            <w:r>
              <w:rPr>
                <w:rFonts w:ascii="仿宋_GB2312" w:hAnsi="仿宋_GB2312" w:cs="仿宋_GB2312" w:eastAsia="仿宋_GB2312"/>
              </w:rPr>
              <w:t>第一部分资格证明文件.docx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第二部分符合性证明文件.docx 投标函 第一部分资格证明文件.docx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第二部分符合性证明文件.docx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第二部分符合性证明文件.docx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第二部分符合性证明文件.docx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技术服务条款响应</w:t>
            </w:r>
          </w:p>
        </w:tc>
        <w:tc>
          <w:tcPr>
            <w:tcW w:type="dxa" w:w="3322"/>
          </w:tcPr>
          <w:p>
            <w:pPr>
              <w:pStyle w:val="null3"/>
            </w:pPr>
            <w:r>
              <w:rPr>
                <w:rFonts w:ascii="仿宋_GB2312" w:hAnsi="仿宋_GB2312" w:cs="仿宋_GB2312" w:eastAsia="仿宋_GB2312"/>
              </w:rPr>
              <w:t>完全理解并接受招标文件第四章采购内容及技术要求的规定，不得负偏离。</w:t>
            </w:r>
          </w:p>
        </w:tc>
        <w:tc>
          <w:tcPr>
            <w:tcW w:type="dxa" w:w="1661"/>
          </w:tcPr>
          <w:p>
            <w:pPr>
              <w:pStyle w:val="null3"/>
            </w:pPr>
            <w:r>
              <w:rPr>
                <w:rFonts w:ascii="仿宋_GB2312" w:hAnsi="仿宋_GB2312" w:cs="仿宋_GB2312" w:eastAsia="仿宋_GB2312"/>
              </w:rPr>
              <w:t>第二部分符合性证明文件.docx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完全理解并接受招标文件合同条款的规定，不得负偏离。</w:t>
            </w:r>
          </w:p>
        </w:tc>
        <w:tc>
          <w:tcPr>
            <w:tcW w:type="dxa" w:w="1661"/>
          </w:tcPr>
          <w:p>
            <w:pPr>
              <w:pStyle w:val="null3"/>
            </w:pPr>
            <w:r>
              <w:rPr>
                <w:rFonts w:ascii="仿宋_GB2312" w:hAnsi="仿宋_GB2312" w:cs="仿宋_GB2312" w:eastAsia="仿宋_GB2312"/>
              </w:rPr>
              <w:t>第二部分符合性证明文件.docx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没有不符合招标文件规定的被视为无效响应的其他条款，不能有采购人不能接受的附加条件</w:t>
            </w:r>
          </w:p>
        </w:tc>
        <w:tc>
          <w:tcPr>
            <w:tcW w:type="dxa" w:w="1661"/>
          </w:tcPr>
          <w:p>
            <w:pPr>
              <w:pStyle w:val="null3"/>
            </w:pPr>
            <w:r>
              <w:rPr>
                <w:rFonts w:ascii="仿宋_GB2312" w:hAnsi="仿宋_GB2312" w:cs="仿宋_GB2312" w:eastAsia="仿宋_GB2312"/>
              </w:rPr>
              <w:t>第二部分符合性证明文件.docx 第一部分资格证明文件.docx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对项目的总体理解及认识</w:t>
            </w:r>
          </w:p>
        </w:tc>
        <w:tc>
          <w:tcPr>
            <w:tcW w:type="dxa" w:w="2492"/>
          </w:tcPr>
          <w:p>
            <w:pPr>
              <w:pStyle w:val="null3"/>
            </w:pPr>
            <w:r>
              <w:rPr>
                <w:rFonts w:ascii="仿宋_GB2312" w:hAnsi="仿宋_GB2312" w:cs="仿宋_GB2312" w:eastAsia="仿宋_GB2312"/>
              </w:rPr>
              <w:t>供应商提供对项目背景以及项目工作目标的总体理解与认识。 对服务范围、服务内容、服务标准的认识准确，理解到位得4分； 对服务范围、服务内容、服务标准的认识基本准确，理解基本到位，得3分； 对服务范围、服务内容、服务标准的认识宽泛，理解不到位，得2分； 对服务范围、服务内容、服务标准的认识不准确，得1分；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项目的①分析项目基本情况及现状建设条件、②核实土地权属，划定地块边界、③考虑现状、规划各项指标，形成本项目规划条件涉及的容积率、建筑密度、绿地率、建筑控制线等控制指标和要求、④城市设计指引方案、⑤项目建设须满足的海绵城市建设要求方案、⑥设计意向方案等。根据方案的科学性、合理性、针对性综合评审。 以上内容每一项均有详细且针对性的说明得30分。 每缺一项内容的描述扣5分； 以上内容仅有描述但内容简单无针对性的，每有一项扣4分； 以上内容仅有描述但内容相对简单，针对性不够准确的，每有一项扣3分； 以上内容仅有描述但不够完善的有一定的针对性，每有一项扣2分； 以上内容描述相对完善，每有一项扣1分； 无相关内容描述不得分。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工作进度措施</w:t>
            </w:r>
          </w:p>
        </w:tc>
        <w:tc>
          <w:tcPr>
            <w:tcW w:type="dxa" w:w="2492"/>
          </w:tcPr>
          <w:p>
            <w:pPr>
              <w:pStyle w:val="null3"/>
            </w:pPr>
            <w:r>
              <w:rPr>
                <w:rFonts w:ascii="仿宋_GB2312" w:hAnsi="仿宋_GB2312" w:cs="仿宋_GB2312" w:eastAsia="仿宋_GB2312"/>
              </w:rPr>
              <w:t>供应商针对本项目采购内容有明确的编制进度安排，合理的成果交付时限且服务计划保证措施得当。 具有科学合理明确的工作进度计划，工作进度计划与实际需求的契合度高，时间节点把控清晰明确，对工作推进指导性强，得3分； 工作进度计划不符合实际需求，无法保证工作能够正常推进，得2分； 工作进度计划与项目实际需求不符，内容粗略得1分； 未提供相关内容不得分。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对能够完成本项目工作的服务承诺，包括不限于①方案调整、②服务保证、③工作效率、④针对本项目长期跟踪研究服务等。 以上内容每一项均有详细且针对性的说明得8分。 每缺一项内容的描述扣2分； 以上内容仅有描述但不够完善的，每有一项扣1分； 无相关内容描述不得分。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结合本项目实际情况，有详细完整的服务质量保证措施。 措施详细完整、可行性、针对性强，能高质量的确保项目服务质量，得4分； 保障措施完整，可行性及针对性较强以保证项目质量，得3分； 保障措施完整，有一定的可行性及针对性以保证项目质量，得2分； 保障措施简单、合理性、可行性有待考究，得1分；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针对本项目有具体、可行的组织协调措施，能很好的配合有关部门完成各项工作。 措施内容科学具体，针对性强，得4分； 措施内容较具体，有一定的针对性，得3分； 措施内容简单，有针对性较弱，得2分； 措施内容笼统，无针对性，得1分；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针对本项目可能出现的异常或突发情况，提供具体、可行的应急处理方案及响应时限承诺。 方案内容科学具体，针对性强，承诺可行，得4分； 方案内容较为具体，有一定的针对性，承诺较为可行，得3分； 方案内容基本具体，具有针对性，承诺基本可行，得2分； 方案内容不够具体，针对性有待考究，承诺不可行，得1分； 未提供相关内容不得分。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拟派本项目的项目负责人具有相关高级及以上职称得5分，中级职称得3分，初级职称得1分。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针对本项目有专项服务小组，人员配置齐全，拥有规划、设计、制图等方面的专业人员。 人员分工明确得当、职责划分均阐述全面详细，且组织机构设置科学、岗位配备齐全，证明材料齐全得8分； 人员分工相对明确得当、职责划分阐述全面，且组织机构设置相对科学、岗位配备相对齐全，证明材料相对齐全得7分； 人员分工较明确、职责划分均阐述较完整，组织机构设置、岗位配备、职责划分较为合理，得6分； 人员分工基本明确、职责划分均阐述完整，组织机构设置、岗位配备、职责划分基本合理，得5分； 人员分工基本明确、职责划分均阐述简短，组织机构设置、岗位配备、职责划分不够合理，得4分； 人员分工不够明确、职责划分阐述简短，组织机构设置、岗位配备不合理，得3分； 人员分工不够明确、无职责划分，组织机构设置、岗位配备不合理，得2分； 人员分工不明确、内容笼统，无可操作性得1分； 未提供相关内容不得分。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重、难点分析及解决</w:t>
            </w:r>
          </w:p>
        </w:tc>
        <w:tc>
          <w:tcPr>
            <w:tcW w:type="dxa" w:w="2492"/>
          </w:tcPr>
          <w:p>
            <w:pPr>
              <w:pStyle w:val="null3"/>
            </w:pPr>
            <w:r>
              <w:rPr>
                <w:rFonts w:ascii="仿宋_GB2312" w:hAnsi="仿宋_GB2312" w:cs="仿宋_GB2312" w:eastAsia="仿宋_GB2312"/>
              </w:rPr>
              <w:t>根据本项目的实际情况，提出有针对性的关键点分析及解决方案，关键点分析准确，解决方案针对性强，得5分； 关键点分析较准确、解决方案有一定的针对性和可行性，得4分； 对重点、难点分析基本准确，解决方案针对性和可行性一般，得3分； 对重点、难点分析与项目实际情况存在偏离，部分解决方案的可行性较合理，得2分； 对重点、难点有分析不准确，解决方案合理性、可行性有待考究，得1分；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供应商对本项目设计内容及成果严格保密，并建立科学有效的保密制度； 保密制度科学合理、可操作性强，得5分； 保密制度科学合理、有一定的可操作性，得4分； 保密制度比较合理、具有可操作性，得3分； 保密制度基本合理，有待完善、可操作性有待考究，得2分； 保密制度不够合理，不完整、需要补充后方可使用，得1分；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建议内容科学可行，有针对性且内容丰富，得5分； 建议内容较为可行，有一定的针对性，得4分； 建议内容基本可行，具有针对性，得3分； 建议内容简单，有待完善、针对性有待考究，得2分； 建议内容笼统，不完整、需要补充后方可使用，得1分；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第三部分投标方案.docx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提供2022年1月1日以来类似项目业绩；每提供1份计1分，最高得5分。业绩证明（以合同为准，须在投标文件中附以上证明材料的扫描件加盖单位公章）弄虚作假者，取消其中标资格。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第三部分投标方案.docx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1、初审合格的投标文件，其投标报价为有效报价。 2、满足招标文件要求且评审报价最低的报价为评标基准价，其价格分为满分。其他供应商的价格分统一按照下列公式计算： 投标报价得分=（有效最低报价/有效投标报价）×10的公式计算其得分。 3、投标报价不完整的，不进入评标基准价的计算，本项得0分。 4、符合招标文件规定的小微企业、监狱企业、残疾人福利企业优惠条件的供应商，价格给予10%的扣除，用扣除后的价格参与评审。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符合招标文件规定的小微企业、监狱企业、残疾人福利企业优惠条件的供应商，价格给予10%的扣除，用扣除后的价格参与评审。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详见附件：第一部分资格证明文件.docx</w:t>
      </w:r>
    </w:p>
    <w:p>
      <w:pPr>
        <w:pStyle w:val="null3"/>
        <w:ind w:firstLine="960"/>
      </w:pPr>
      <w:r>
        <w:rPr>
          <w:rFonts w:ascii="仿宋_GB2312" w:hAnsi="仿宋_GB2312" w:cs="仿宋_GB2312" w:eastAsia="仿宋_GB2312"/>
        </w:rPr>
        <w:t>详见附件：第二部分符合性证明文件.docx</w:t>
      </w:r>
    </w:p>
    <w:p>
      <w:pPr>
        <w:pStyle w:val="null3"/>
        <w:ind w:firstLine="960"/>
      </w:pPr>
      <w:r>
        <w:rPr>
          <w:rFonts w:ascii="仿宋_GB2312" w:hAnsi="仿宋_GB2312" w:cs="仿宋_GB2312" w:eastAsia="仿宋_GB2312"/>
        </w:rPr>
        <w:t>详见附件：第三部分投标方案.docx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