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版本号：FDZB-2025-029Z20250912001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西安市鄠邑区未成年人救助保护中心建设项目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FDZB-2025-029Z</w:t>
      </w:r>
      <w:r>
        <w:br/>
      </w:r>
      <w:r>
        <w:br/>
      </w:r>
      <w:r>
        <w:br/>
      </w:r>
    </w:p>
    <w:p>
      <w:pPr>
        <w:pStyle w:val="null3"/>
        <w:jc w:val="center"/>
        <w:outlineLvl w:val="2"/>
      </w:pPr>
      <w:r>
        <w:rPr>
          <w:rFonts w:ascii="仿宋_GB2312" w:hAnsi="仿宋_GB2312" w:cs="仿宋_GB2312" w:eastAsia="仿宋_GB2312"/>
          <w:sz w:val="28"/>
          <w:b/>
        </w:rPr>
        <w:t>西安市鄠邑区救助管理站</w:t>
      </w:r>
    </w:p>
    <w:p>
      <w:pPr>
        <w:pStyle w:val="null3"/>
        <w:jc w:val="center"/>
        <w:outlineLvl w:val="2"/>
      </w:pPr>
      <w:r>
        <w:rPr>
          <w:rFonts w:ascii="仿宋_GB2312" w:hAnsi="仿宋_GB2312" w:cs="仿宋_GB2312" w:eastAsia="仿宋_GB2312"/>
          <w:sz w:val="28"/>
          <w:b/>
        </w:rPr>
        <w:t>陕西丰德项目管理有限公司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陕西丰德项目管理有限公司</w:t>
      </w:r>
      <w:r>
        <w:rPr>
          <w:rFonts w:ascii="仿宋_GB2312" w:hAnsi="仿宋_GB2312" w:cs="仿宋_GB2312" w:eastAsia="仿宋_GB2312"/>
        </w:rPr>
        <w:t>（以下简称“代理机构”）受</w:t>
      </w:r>
      <w:r>
        <w:rPr>
          <w:rFonts w:ascii="仿宋_GB2312" w:hAnsi="仿宋_GB2312" w:cs="仿宋_GB2312" w:eastAsia="仿宋_GB2312"/>
        </w:rPr>
        <w:t>西安市鄠邑区救助管理站</w:t>
      </w:r>
      <w:r>
        <w:rPr>
          <w:rFonts w:ascii="仿宋_GB2312" w:hAnsi="仿宋_GB2312" w:cs="仿宋_GB2312" w:eastAsia="仿宋_GB2312"/>
        </w:rPr>
        <w:t>委托，拟对</w:t>
      </w:r>
      <w:r>
        <w:rPr>
          <w:rFonts w:ascii="仿宋_GB2312" w:hAnsi="仿宋_GB2312" w:cs="仿宋_GB2312" w:eastAsia="仿宋_GB2312"/>
        </w:rPr>
        <w:t>西安市鄠邑区未成年人救助保护中心建设项目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FDZB-2025-029Z</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西安市鄠邑区未成年人救助保护中心建设项目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本次拟对未保中心(区救助站办公楼4、5层)等基础设施和设备进行建设和提升改造。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采购包1（西安市鄠邑区未成年人救助保护中心建设项目）：属于专门面向中小企业采购。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1、营业执照：供应商为合法注册的法人、其他组织，具有独立承担民事责任的能力，提供营业执照（或事业法人证）、组织机构代码证、税务登记证或统一社会信用代码的营业执照等证明文件。</w:t>
      </w:r>
    </w:p>
    <w:p>
      <w:pPr>
        <w:pStyle w:val="null3"/>
      </w:pPr>
      <w:r>
        <w:rPr>
          <w:rFonts w:ascii="仿宋_GB2312" w:hAnsi="仿宋_GB2312" w:cs="仿宋_GB2312" w:eastAsia="仿宋_GB2312"/>
        </w:rPr>
        <w:t>2、资质证书：供应商须具备建筑装修装饰工程专业承包二级及以上资质，及具备有效的安全生产许可证。</w:t>
      </w:r>
    </w:p>
    <w:p>
      <w:pPr>
        <w:pStyle w:val="null3"/>
      </w:pPr>
      <w:r>
        <w:rPr>
          <w:rFonts w:ascii="仿宋_GB2312" w:hAnsi="仿宋_GB2312" w:cs="仿宋_GB2312" w:eastAsia="仿宋_GB2312"/>
        </w:rPr>
        <w:t>3、项目经理：拟派项目经理须具备建筑工程专业二级及以上注册建造师资格，及有效的安全生产考核合格证书（B证），且无在建项目。</w:t>
      </w:r>
    </w:p>
    <w:p>
      <w:pPr>
        <w:pStyle w:val="null3"/>
      </w:pPr>
      <w:r>
        <w:rPr>
          <w:rFonts w:ascii="仿宋_GB2312" w:hAnsi="仿宋_GB2312" w:cs="仿宋_GB2312" w:eastAsia="仿宋_GB2312"/>
        </w:rPr>
        <w:t>4、法定代表人授权书：供应商应授权合法的人员参加磋商全过程，其中法定代表人直接参加磋商的，须出具法定代表人身份证明书，并与营业执照上信息一致。法定代表人授权代表参加磋商的，须出具法定代表人授权书及授权代表身份证（被授权人须提供磋商截止时间前近3个月内任意一个月的社保缴纳证明）。</w:t>
      </w:r>
    </w:p>
    <w:p>
      <w:pPr>
        <w:pStyle w:val="null3"/>
      </w:pPr>
      <w:r>
        <w:rPr>
          <w:rFonts w:ascii="仿宋_GB2312" w:hAnsi="仿宋_GB2312" w:cs="仿宋_GB2312" w:eastAsia="仿宋_GB2312"/>
        </w:rPr>
        <w:t>5、财务状况：提供2024年度经审计的财务报告（包括审计报告、资产负债表、利润表、现金流量表、所有者权益变动表及其附注，成立时间至提交磋商响应文件截止时间不足一年的可提供成立至今的财务报表）或其基本存款账户开户银行出具的资信证明（附基本存款账户证明材料）或信用担保机构出具的投标担保函；（注：供应商若提供经审计的财务报告须为陕西省财政厅最新要求的赋“二维码”可查验验证功能的财务报告。）</w:t>
      </w:r>
    </w:p>
    <w:p>
      <w:pPr>
        <w:pStyle w:val="null3"/>
      </w:pPr>
      <w:r>
        <w:rPr>
          <w:rFonts w:ascii="仿宋_GB2312" w:hAnsi="仿宋_GB2312" w:cs="仿宋_GB2312" w:eastAsia="仿宋_GB2312"/>
        </w:rPr>
        <w:t>6、社会保障资金缴纳证明：社会保障资金缴纳证明：提供供应商自磋商前一年内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税收缴纳证明：税收缴纳证明：提供供应商自磋商前一年内至少一个月已缴纳的增值税或营业税或企业所得税的凭据或税务机关开具的完税证明(纳税证明或完税证明上应有代收机构或税务机关的公章或业务专用章)；依法免税的应提供相关文件证明。</w:t>
      </w:r>
    </w:p>
    <w:p>
      <w:pPr>
        <w:pStyle w:val="null3"/>
      </w:pPr>
      <w:r>
        <w:rPr>
          <w:rFonts w:ascii="仿宋_GB2312" w:hAnsi="仿宋_GB2312" w:cs="仿宋_GB2312" w:eastAsia="仿宋_GB2312"/>
        </w:rPr>
        <w:t>8、承诺函：供应商在人员、设备等方面具有相应的服务能力并提供承诺函。</w:t>
      </w:r>
    </w:p>
    <w:p>
      <w:pPr>
        <w:pStyle w:val="null3"/>
      </w:pPr>
      <w:r>
        <w:rPr>
          <w:rFonts w:ascii="仿宋_GB2312" w:hAnsi="仿宋_GB2312" w:cs="仿宋_GB2312" w:eastAsia="仿宋_GB2312"/>
        </w:rPr>
        <w:t>9、书面声明：提供参加本次政府采购活动前三年内在经营活动中没有重大违法记录的书面声明。</w:t>
      </w:r>
    </w:p>
    <w:p>
      <w:pPr>
        <w:pStyle w:val="null3"/>
      </w:pPr>
      <w:r>
        <w:rPr>
          <w:rFonts w:ascii="仿宋_GB2312" w:hAnsi="仿宋_GB2312" w:cs="仿宋_GB2312" w:eastAsia="仿宋_GB2312"/>
        </w:rPr>
        <w:t>10、企业信誉：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11、联合体：本项目不允许联合体(提供非联合体声明函)。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西安市鄠邑区救助管理站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鄠邑区兆丰西路21号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孔新荣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13759944352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陕西丰德项目管理有限公司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陕西省西安市雁塔区陕西省西安市天地源悦熙广场2号楼19层11901室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029-88813539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鄠邑区政府采购管理股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李清维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84882872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代理服务费收费标准：参考国家发改委文件计价格［2002］1980号、［2003］857号以及发改价格［2011］534号文件规定的取费标准计取；代理服务费由中标人向乙方支付，不足伍仟按伍仟计取。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西安市鄠邑区救助管理站</w:t>
      </w:r>
      <w:r>
        <w:rPr>
          <w:rFonts w:ascii="仿宋_GB2312" w:hAnsi="仿宋_GB2312" w:cs="仿宋_GB2312" w:eastAsia="仿宋_GB2312"/>
        </w:rPr>
        <w:t>和</w:t>
      </w:r>
      <w:r>
        <w:rPr>
          <w:rFonts w:ascii="仿宋_GB2312" w:hAnsi="仿宋_GB2312" w:cs="仿宋_GB2312" w:eastAsia="仿宋_GB2312"/>
        </w:rPr>
        <w:t>陕西丰德项目管理有限公司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西安市鄠邑区救助管理站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陕西丰德项目管理有限公司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西安市鄠邑区救助管理站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陕西丰德项目管理有限公司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陕西丰德项目管理有限公司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联系人：孙轩</w:t>
      </w:r>
    </w:p>
    <w:p>
      <w:pPr>
        <w:pStyle w:val="null3"/>
      </w:pPr>
      <w:r>
        <w:rPr>
          <w:rFonts w:ascii="仿宋_GB2312" w:hAnsi="仿宋_GB2312" w:cs="仿宋_GB2312" w:eastAsia="仿宋_GB2312"/>
        </w:rPr>
        <w:t>联系电话：029-88813539</w:t>
      </w:r>
    </w:p>
    <w:p>
      <w:pPr>
        <w:pStyle w:val="null3"/>
      </w:pPr>
      <w:r>
        <w:rPr>
          <w:rFonts w:ascii="仿宋_GB2312" w:hAnsi="仿宋_GB2312" w:cs="仿宋_GB2312" w:eastAsia="仿宋_GB2312"/>
        </w:rPr>
        <w:t>地址：西安市雁塔区天地源悦熙广场2号楼19层1901室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969,574.72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鄠邑区未成年人救助保护中心建设项目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标的名称：鄠邑区未成年人救助保护中心建设项目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b/>
              </w:rPr>
              <w:t xml:space="preserve">      </w:t>
            </w:r>
            <w:r>
              <w:rPr>
                <w:rFonts w:ascii="仿宋_GB2312" w:hAnsi="仿宋_GB2312" w:cs="仿宋_GB2312" w:eastAsia="仿宋_GB2312"/>
                <w:sz w:val="24"/>
                <w:b/>
              </w:rPr>
              <w:t>（一）工程内容：</w:t>
            </w:r>
          </w:p>
          <w:p>
            <w:pPr>
              <w:pStyle w:val="null3"/>
              <w:ind w:firstLine="480"/>
              <w:jc w:val="both"/>
            </w:pPr>
            <w:r>
              <w:rPr>
                <w:rFonts w:ascii="仿宋_GB2312" w:hAnsi="仿宋_GB2312" w:cs="仿宋_GB2312" w:eastAsia="仿宋_GB2312"/>
                <w:sz w:val="24"/>
              </w:rPr>
              <w:t>1、办公楼部分内墙及房间面积约 3200平方米，乳胶漆粉刷;未成年人室外活动场所改造，篮球场塑胶铺设约420平方米等设施改造。办公楼外墙真实漆粉刷，面积约690平方米；</w:t>
            </w:r>
          </w:p>
          <w:p>
            <w:pPr>
              <w:pStyle w:val="null3"/>
              <w:ind w:firstLine="480"/>
              <w:jc w:val="both"/>
            </w:pPr>
            <w:r>
              <w:rPr>
                <w:rFonts w:ascii="仿宋_GB2312" w:hAnsi="仿宋_GB2312" w:cs="仿宋_GB2312" w:eastAsia="仿宋_GB2312"/>
                <w:sz w:val="24"/>
              </w:rPr>
              <w:t>2、未保中心(1-5 楼)楼梯及走廊过道改造(塑胶铺设、扶手更换、消防安全通道标志设置;墙面文化宣传策划设计建设；</w:t>
            </w:r>
          </w:p>
          <w:p>
            <w:pPr>
              <w:pStyle w:val="null3"/>
              <w:ind w:firstLine="480"/>
              <w:jc w:val="both"/>
            </w:pPr>
            <w:r>
              <w:rPr>
                <w:rFonts w:ascii="仿宋_GB2312" w:hAnsi="仿宋_GB2312" w:cs="仿宋_GB2312" w:eastAsia="仿宋_GB2312"/>
                <w:sz w:val="24"/>
              </w:rPr>
              <w:t>3、中心 4、5 楼房间及走廊等建设及改造提升。未成年人保护区楼道防护网及走廊安全门改造。未成年人宿舍、心理疏导室、图书及多功能技能培训活动室、档案室等功能室设施配置(床、柜子、空调、电视、教育矫治教具及技能培训辅具等)及改造装修。</w:t>
            </w:r>
          </w:p>
          <w:p>
            <w:pPr>
              <w:pStyle w:val="null3"/>
              <w:ind w:firstLine="480"/>
              <w:jc w:val="both"/>
            </w:pPr>
            <w:r>
              <w:rPr>
                <w:rFonts w:ascii="仿宋_GB2312" w:hAnsi="仿宋_GB2312" w:cs="仿宋_GB2312" w:eastAsia="仿宋_GB2312"/>
                <w:sz w:val="24"/>
                <w:b/>
              </w:rPr>
              <w:t>（二）本项目工程量清单及图纸详见附件；</w:t>
            </w:r>
          </w:p>
          <w:p>
            <w:pPr>
              <w:pStyle w:val="null3"/>
            </w:pPr>
            <w:r>
              <w:rPr>
                <w:rFonts w:ascii="仿宋_GB2312" w:hAnsi="仿宋_GB2312" w:cs="仿宋_GB2312" w:eastAsia="仿宋_GB2312"/>
                <w:sz w:val="24"/>
                <w:b/>
              </w:rPr>
              <w:t xml:space="preserve">         （三）本项目工程量清单编制依据：</w:t>
            </w:r>
          </w:p>
          <w:p>
            <w:pPr>
              <w:pStyle w:val="null3"/>
            </w:pPr>
            <w:r>
              <w:rPr>
                <w:rFonts w:ascii="仿宋_GB2312" w:hAnsi="仿宋_GB2312" w:cs="仿宋_GB2312" w:eastAsia="仿宋_GB2312"/>
                <w:sz w:val="24"/>
              </w:rPr>
              <w:t xml:space="preserve">   1、陕西省建设工程工程量清单计价计算标准(2025)</w:t>
            </w:r>
            <w:r>
              <w:br/>
            </w:r>
            <w:r>
              <w:rPr>
                <w:rFonts w:ascii="仿宋_GB2312" w:hAnsi="仿宋_GB2312" w:cs="仿宋_GB2312" w:eastAsia="仿宋_GB2312"/>
                <w:sz w:val="24"/>
              </w:rPr>
              <w:t xml:space="preserve">    2、陕西省房屋建筑与装饰工程消耗量定额、基价表(2025)、陕西省通用安装工程消耗量定额、基价表(2025)及陕西省市政工程消耗量定额、基价表(2025)、陕西省建设工程费用规则(2025)。</w:t>
            </w:r>
            <w:r>
              <w:br/>
            </w:r>
            <w:r>
              <w:rPr>
                <w:rFonts w:ascii="仿宋_GB2312" w:hAnsi="仿宋_GB2312" w:cs="仿宋_GB2312" w:eastAsia="仿宋_GB2312"/>
                <w:sz w:val="24"/>
              </w:rPr>
              <w:t xml:space="preserve">    3、陕建管发(2025)10号文《陕西省住房和城乡建设厅关于印发2025 陕西省建设工程费用规则等计价依据的通知》;</w:t>
            </w:r>
            <w:r>
              <w:br/>
            </w:r>
            <w:r>
              <w:rPr>
                <w:rFonts w:ascii="仿宋_GB2312" w:hAnsi="仿宋_GB2312" w:cs="仿宋_GB2312" w:eastAsia="仿宋_GB2312"/>
                <w:sz w:val="24"/>
              </w:rPr>
              <w:t xml:space="preserve">    4、本工程计价软件采用广联达云计价平台GCCP7.0版本:7.5000.23.1。</w:t>
            </w:r>
            <w:r>
              <w:br/>
            </w:r>
            <w:r>
              <w:rPr>
                <w:rFonts w:ascii="仿宋_GB2312" w:hAnsi="仿宋_GB2312" w:cs="仿宋_GB2312" w:eastAsia="仿宋_GB2312"/>
                <w:sz w:val="24"/>
              </w:rPr>
              <w:t xml:space="preserve">    5、在评审过程中，我们结合该工程实际情况，实施了包括核对工程量、计价、材料单价等我们认为必要的评审程序。</w:t>
            </w:r>
            <w:r>
              <w:br/>
            </w:r>
            <w:r>
              <w:rPr>
                <w:rFonts w:ascii="仿宋_GB2312" w:hAnsi="仿宋_GB2312" w:cs="仿宋_GB2312" w:eastAsia="仿宋_GB2312"/>
                <w:sz w:val="24"/>
              </w:rPr>
              <w:t xml:space="preserve">    6、西安市鄠邑区未成年人救助保护中心建设项目施工图:</w:t>
            </w:r>
          </w:p>
          <w:p>
            <w:pPr>
              <w:pStyle w:val="null3"/>
            </w:pPr>
            <w:r>
              <w:rPr>
                <w:rFonts w:ascii="仿宋_GB2312" w:hAnsi="仿宋_GB2312" w:cs="仿宋_GB2312" w:eastAsia="仿宋_GB2312"/>
                <w:sz w:val="24"/>
              </w:rPr>
              <w:t xml:space="preserve">   7、西安市鄠邑区未成年人救助保护中心建设项目最高限价预算书;</w:t>
            </w:r>
            <w:r>
              <w:br/>
            </w:r>
            <w:r>
              <w:rPr>
                <w:rFonts w:ascii="仿宋_GB2312" w:hAnsi="仿宋_GB2312" w:cs="仿宋_GB2312" w:eastAsia="仿宋_GB2312"/>
                <w:sz w:val="24"/>
              </w:rPr>
              <w:t xml:space="preserve">    8、其他相关资料。</w:t>
            </w:r>
            <w:r>
              <w:br/>
            </w:r>
            <w:r>
              <w:rPr>
                <w:rFonts w:ascii="仿宋_GB2312" w:hAnsi="仿宋_GB2312" w:cs="仿宋_GB2312" w:eastAsia="仿宋_GB2312"/>
                <w:sz w:val="24"/>
              </w:rPr>
              <w:t xml:space="preserve">    9、在评审过程中，我们结合该工程实际情况，实施了包括核对工程量、计价、材料单价等我们认为必要的评审程序。</w:t>
            </w:r>
          </w:p>
          <w:p>
            <w:pPr>
              <w:pStyle w:val="null3"/>
            </w:pPr>
            <w:r>
              <w:rPr>
                <w:rFonts w:ascii="仿宋_GB2312" w:hAnsi="仿宋_GB2312" w:cs="仿宋_GB2312" w:eastAsia="仿宋_GB2312"/>
                <w:sz w:val="21"/>
                <w:b/>
              </w:rPr>
              <w:t xml:space="preserve">     </w:t>
            </w:r>
            <w:r>
              <w:rPr>
                <w:rFonts w:ascii="仿宋_GB2312" w:hAnsi="仿宋_GB2312" w:cs="仿宋_GB2312" w:eastAsia="仿宋_GB2312"/>
                <w:sz w:val="24"/>
                <w:b/>
              </w:rPr>
              <w:t xml:space="preserve">  </w:t>
            </w:r>
            <w:r>
              <w:rPr>
                <w:rFonts w:ascii="仿宋_GB2312" w:hAnsi="仿宋_GB2312" w:cs="仿宋_GB2312" w:eastAsia="仿宋_GB2312"/>
                <w:sz w:val="24"/>
                <w:b/>
              </w:rPr>
              <w:t xml:space="preserve"> （四）本项目投标最高限价：</w:t>
            </w:r>
            <w:r>
              <w:rPr>
                <w:rFonts w:ascii="仿宋_GB2312" w:hAnsi="仿宋_GB2312" w:cs="仿宋_GB2312" w:eastAsia="仿宋_GB2312"/>
                <w:sz w:val="24"/>
                <w:b/>
                <w:u w:val="single"/>
              </w:rPr>
              <w:t>969574.72元</w:t>
            </w:r>
            <w:r>
              <w:rPr>
                <w:rFonts w:ascii="仿宋_GB2312" w:hAnsi="仿宋_GB2312" w:cs="仿宋_GB2312" w:eastAsia="仿宋_GB2312"/>
                <w:sz w:val="24"/>
                <w:b/>
              </w:rPr>
              <w:t>；</w:t>
            </w:r>
          </w:p>
          <w:p>
            <w:pPr>
              <w:pStyle w:val="null3"/>
            </w:pPr>
            <w:r>
              <w:rPr>
                <w:rFonts w:ascii="仿宋_GB2312" w:hAnsi="仿宋_GB2312" w:cs="仿宋_GB2312" w:eastAsia="仿宋_GB2312"/>
                <w:sz w:val="24"/>
                <w:b/>
              </w:rPr>
              <w:t xml:space="preserve">        （五）质量要求：符合国家规范合格标准；</w:t>
            </w:r>
          </w:p>
          <w:p>
            <w:pPr>
              <w:pStyle w:val="null3"/>
            </w:pPr>
            <w:r>
              <w:rPr>
                <w:rFonts w:ascii="仿宋_GB2312" w:hAnsi="仿宋_GB2312" w:cs="仿宋_GB2312" w:eastAsia="仿宋_GB2312"/>
                <w:sz w:val="24"/>
                <w:b/>
              </w:rPr>
              <w:t xml:space="preserve">        （六）承包方式：</w:t>
            </w:r>
            <w:r>
              <w:rPr>
                <w:rFonts w:ascii="仿宋_GB2312" w:hAnsi="仿宋_GB2312" w:cs="仿宋_GB2312" w:eastAsia="仿宋_GB2312"/>
                <w:sz w:val="24"/>
                <w:b/>
                <w:u w:val="single"/>
              </w:rPr>
              <w:t>固定总价</w:t>
            </w:r>
            <w:r>
              <w:rPr>
                <w:rFonts w:ascii="仿宋_GB2312" w:hAnsi="仿宋_GB2312" w:cs="仿宋_GB2312" w:eastAsia="仿宋_GB2312"/>
                <w:sz w:val="24"/>
                <w:b/>
              </w:rPr>
              <w:t>。</w:t>
            </w:r>
          </w:p>
          <w:p>
            <w:pPr>
              <w:pStyle w:val="null3"/>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符合国家及行业验收合格标准</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及其附注，成立时间至提交磋商响应文件截止时间不足一年的可提供成立至今的财务报表）或其基本存款账户开户银行出具的资信证明（附基本存款账户证明材料）或信用担保机构出具的投标担保函；（注：供应商若提供经审计的财务报告须为陕西省财政厅最新要求的赋“二维码”可查验验证功能的财务报告。）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供应商为合法注册的法人、其他组织，具有独立承担民事责任的能力，提供营业执照（或事业法人证）、组织机构代码证、税务登记证或统一社会信用代码的营业执照等证明文件。</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供应商须具备建筑装修装饰工程专业承包二级及以上资质，及具备有效的安全生产许可证。</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拟派项目经理须具备建筑工程专业二级及以上注册建造师资格，及有效的安全生产考核合格证书（B证），且无在建项目。</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书，并与营业执照上信息一致。法定代表人授权代表参加磋商的，须出具法定代表人授权书及授权代表身份证（被授权人须提供磋商截止时间前近3个月内任意一个月的社保缴纳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2024年度经审计的财务报告（包括审计报告、资产负债表、利润表、现金流量表、所有者权益变动表及其附注，成立时间至提交磋商响应文件截止时间不足一年的可提供成立至今的财务报表）或其基本存款账户开户银行出具的资信证明（附基本存款账户证明材料）或信用担保机构出具的投标担保函；（注：供应商若提供经审计的财务报告须为陕西省财政厅最新要求的赋“二维码”可查验验证功能的财务报告。）</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社会保障资金缴纳证明：提供供应商自磋商前一年内已缴纳的至少一个月的社会保障资金缴存单据或社保机构开具的社会保险参保缴费情况证明，依法不需要缴纳社会保障资金的单位应提供相关证明材料。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供应商自磋商前一年内至少一个月已缴纳的增值税或营业税或企业所得税的凭据或税务机关开具的完税证明(纳税证明或完税证明上应有代收机构或税务机关的公章或业务专用章)；依法免税的应提供相关文件证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供应商在人员、设备等方面具有相应的服务能力并提供承诺函。</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供应商应提交的资格相关证明材料.docx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本项目不允许联合体(提供非联合体声明函)。</w:t>
            </w:r>
          </w:p>
        </w:tc>
        <w:tc>
          <w:tcPr>
            <w:tcW w:type="dxa" w:w="1661"/>
          </w:tcPr>
          <w:p>
            <w:pPr>
              <w:pStyle w:val="null3"/>
            </w:pPr>
            <w:r>
              <w:rPr>
                <w:rFonts w:ascii="仿宋_GB2312" w:hAnsi="仿宋_GB2312" w:cs="仿宋_GB2312" w:eastAsia="仿宋_GB2312"/>
              </w:rPr>
              <w:t>供应商应提交的资格相关证明材料.docx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文件签署、盖章</w:t>
            </w:r>
          </w:p>
        </w:tc>
        <w:tc>
          <w:tcPr>
            <w:tcW w:type="dxa" w:w="3322"/>
          </w:tcPr>
          <w:p>
            <w:pPr>
              <w:pStyle w:val="null3"/>
            </w:pPr>
            <w:r>
              <w:rPr>
                <w:rFonts w:ascii="仿宋_GB2312" w:hAnsi="仿宋_GB2312" w:cs="仿宋_GB2312" w:eastAsia="仿宋_GB2312"/>
              </w:rPr>
              <w:t>磋商响应文件是否符合签署和盖章要求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投标报价无明显不合理的且未超过采购预算或者最高限价的</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是否符合法律、法规和磋商文件规定，无其他 无效投标情形的。</w:t>
            </w:r>
          </w:p>
        </w:tc>
        <w:tc>
          <w:tcPr>
            <w:tcW w:type="dxa" w:w="1661"/>
          </w:tcPr>
          <w:p>
            <w:pPr>
              <w:pStyle w:val="null3"/>
            </w:pPr>
            <w:r>
              <w:rPr>
                <w:rFonts w:ascii="仿宋_GB2312" w:hAnsi="仿宋_GB2312" w:cs="仿宋_GB2312" w:eastAsia="仿宋_GB2312"/>
              </w:rPr>
              <w:t>技术服务合同条款及其他商务要求应答表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横向对比，由磋商小组自主赋分，内容丰富全面、科学合理、规范3.1-7分，内容基本符合本项目要求1-3分，缺项得0分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横向对比，由磋商小组自主赋分，内容丰富全面、科学合理、规范3.1-7分，内容基本符合本项目要求1-3分，缺项得0分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施工总平面布置图</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横向对比，由磋商小组自主赋分，内容丰富全面、科学合理、规范3.1-7分，内容基本符合本项目要求1-3分，缺项得0分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横向对比，由磋商小组自主赋分，内容丰富全面、科学合理、规范5.1-10分，内容基本符合本项目要求1-5分，缺项得0分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横向对比，由磋商小组自主赋分，内容丰富全面、科学合理、规范3.1-7分，内容基本符合本项目要求1-3分，缺项得0分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主要施工机械设备配备计划</w:t>
            </w:r>
          </w:p>
        </w:tc>
        <w:tc>
          <w:tcPr>
            <w:tcW w:type="dxa" w:w="2492"/>
          </w:tcPr>
          <w:p>
            <w:pPr>
              <w:pStyle w:val="null3"/>
            </w:pPr>
            <w:r>
              <w:rPr>
                <w:rFonts w:ascii="仿宋_GB2312" w:hAnsi="仿宋_GB2312" w:cs="仿宋_GB2312" w:eastAsia="仿宋_GB2312"/>
              </w:rPr>
              <w:t>横向对比，由磋商小组自主赋分，内容丰富全面、科学合理、规范3.1-6分，内容基本符合本项目要求1-3分，缺项得0分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施工进度计划及措施</w:t>
            </w:r>
          </w:p>
        </w:tc>
        <w:tc>
          <w:tcPr>
            <w:tcW w:type="dxa" w:w="2492"/>
          </w:tcPr>
          <w:p>
            <w:pPr>
              <w:pStyle w:val="null3"/>
            </w:pPr>
            <w:r>
              <w:rPr>
                <w:rFonts w:ascii="仿宋_GB2312" w:hAnsi="仿宋_GB2312" w:cs="仿宋_GB2312" w:eastAsia="仿宋_GB2312"/>
              </w:rPr>
              <w:t>横向对比，由磋商小组自主赋分，内容丰富全面、科学合理、规范3.1-7分，内容基本符合本项目要求1-3分，缺项得0分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横向对比，由磋商小组自主赋分，内容丰富全面、科学合理、规范3.1-7分，内容基本 符合本项目要求1-3分，缺项得0分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提供2022年1月至今类似业绩合同，其中类似工程业绩合同每份计2分，满分6分。以合同书为准（提供合同书原件的扫描件并加盖公章，时间以合同签订时间为准）。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满足磋商文件要求且最后报价最低的供应商的价格为磋商基准价，其价格分为满分30分。其他供应商的价格分统一按照下列公式计算：磋商报价得分=（磋商基准价/最后磋商报价）×价格权值（即30%）×100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详见附件：供应商应提交的资格相关证明材料.docx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