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版本号：ZXZB-CG2025-19720250917001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2025年中央转移支付农业防灾救灾资金农作物病虫害防治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ZXZB-CG2025-197</w:t>
      </w:r>
      <w:r>
        <w:br/>
      </w:r>
      <w:r>
        <w:br/>
      </w:r>
      <w:r>
        <w:br/>
      </w:r>
    </w:p>
    <w:p>
      <w:pPr>
        <w:pStyle w:val="null3"/>
        <w:jc w:val="center"/>
        <w:outlineLvl w:val="2"/>
      </w:pPr>
      <w:r>
        <w:rPr>
          <w:rFonts w:ascii="仿宋_GB2312" w:hAnsi="仿宋_GB2312" w:cs="仿宋_GB2312" w:eastAsia="仿宋_GB2312"/>
          <w:sz w:val="28"/>
          <w:b/>
        </w:rPr>
        <w:t>西安市鄠邑区农业技术推广中心</w:t>
      </w:r>
    </w:p>
    <w:p>
      <w:pPr>
        <w:pStyle w:val="null3"/>
        <w:jc w:val="center"/>
        <w:outlineLvl w:val="2"/>
      </w:pPr>
      <w:r>
        <w:rPr>
          <w:rFonts w:ascii="仿宋_GB2312" w:hAnsi="仿宋_GB2312" w:cs="仿宋_GB2312" w:eastAsia="仿宋_GB2312"/>
          <w:sz w:val="28"/>
          <w:b/>
        </w:rPr>
        <w:t>陕西中信项目咨询有限公司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陕西中信项目咨询有限公司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西安市鄠邑区农业技术推广中心</w:t>
      </w:r>
      <w:r>
        <w:rPr>
          <w:rFonts w:ascii="仿宋_GB2312" w:hAnsi="仿宋_GB2312" w:cs="仿宋_GB2312" w:eastAsia="仿宋_GB2312"/>
        </w:rPr>
        <w:t>委托，拟对</w:t>
      </w:r>
      <w:r>
        <w:rPr>
          <w:rFonts w:ascii="仿宋_GB2312" w:hAnsi="仿宋_GB2312" w:cs="仿宋_GB2312" w:eastAsia="仿宋_GB2312"/>
        </w:rPr>
        <w:t>2025年中央转移支付农业防灾救灾资金农作物病虫害防治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ZXZB-CG2025-197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2025年中央转移支付农业防灾救灾资金农作物病虫害防治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2025年中央转移支付农业防灾救灾资金农作物病虫害防治计划，项目总投资33万元，全部为2025年中央转移支付农业防灾救灾资金，主要用于：采购小麦地下害虫、茎基腐病等病虫害拌种剂2万亩左右，小麦条锈病、蚜虫等病虫害药剂2.5万亩左右，小麦防治面积合计不少于4.5万亩的药剂费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采购包1（2025年中央转移支付农业防灾救灾资金农作物病虫害防治）：属于专门面向中小企业采购。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 ：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 ：提供具有履行合同所必需的设备和专业技术能力的承诺书。</w:t>
      </w:r>
    </w:p>
    <w:p>
      <w:pPr>
        <w:pStyle w:val="null3"/>
      </w:pPr>
      <w:r>
        <w:rPr>
          <w:rFonts w:ascii="仿宋_GB2312" w:hAnsi="仿宋_GB2312" w:cs="仿宋_GB2312" w:eastAsia="仿宋_GB2312"/>
        </w:rPr>
        <w:t>4、有依法缴纳税收的良好记录 ：提供2024年9月至今已缴纳的至少一个月的纳税证明或完税证明，依法免税的单位应提供相关证明材料。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 ：提供2024年9月至今已缴存的至少一个月的社会保障资金缴存单据或社保机构开具的社会保险参保缴费情况证明，依法不需要缴纳社会保障资金的单位应提供相关证明材料。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 ：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以响应文件中所附材料或现场网查信息为准。</w:t>
      </w:r>
    </w:p>
    <w:p>
      <w:pPr>
        <w:pStyle w:val="null3"/>
      </w:pPr>
      <w:r>
        <w:rPr>
          <w:rFonts w:ascii="仿宋_GB2312" w:hAnsi="仿宋_GB2312" w:cs="仿宋_GB2312" w:eastAsia="仿宋_GB2312"/>
        </w:rPr>
        <w:t>7、法定代表人（主要负责人）身份证明/授权委托书：法定代表人（主要负责人）参与磋商时，提供法定代表人（主要负责人）身份证明；授权代表参与磋商时，提供法定代表人（主要负责人）授权委托书。</w:t>
      </w:r>
    </w:p>
    <w:p>
      <w:pPr>
        <w:pStyle w:val="null3"/>
      </w:pPr>
      <w:r>
        <w:rPr>
          <w:rFonts w:ascii="仿宋_GB2312" w:hAnsi="仿宋_GB2312" w:cs="仿宋_GB2312" w:eastAsia="仿宋_GB2312"/>
        </w:rPr>
        <w:t>8、资质证书 ：供应商为经销商的，须提供合格有效的农药经营许可证及生产厂家的农药“三证”(农药生产许可证、农药登记证、农药标准证)；供应商为生产厂家的，须提供合格有效的农药“三证”(农药生产许可证、农药登记证、农药标准证)。</w:t>
      </w:r>
    </w:p>
    <w:p>
      <w:pPr>
        <w:pStyle w:val="null3"/>
      </w:pPr>
      <w:r>
        <w:rPr>
          <w:rFonts w:ascii="仿宋_GB2312" w:hAnsi="仿宋_GB2312" w:cs="仿宋_GB2312" w:eastAsia="仿宋_GB2312"/>
        </w:rPr>
        <w:t>9、本项目不接受联合体磋商：本项目不接受联合体磋商（提供书面声明）。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西安市鄠邑区七一村吉祥巷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郑小亚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029-84882366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陕西省西安市碑林区和平路71号综合楼5楼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贾雅楠、孔仙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有关规定执行，不足八千按照八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西安市鄠邑区农业技术推广中心</w:t>
      </w:r>
      <w:r>
        <w:rPr>
          <w:rFonts w:ascii="仿宋_GB2312" w:hAnsi="仿宋_GB2312" w:cs="仿宋_GB2312" w:eastAsia="仿宋_GB2312"/>
        </w:rPr>
        <w:t>和</w:t>
      </w:r>
      <w:r>
        <w:rPr>
          <w:rFonts w:ascii="仿宋_GB2312" w:hAnsi="仿宋_GB2312" w:cs="仿宋_GB2312" w:eastAsia="仿宋_GB2312"/>
        </w:rPr>
        <w:t>陕西中信项目咨询有限公司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3）是否邀请专家：是 4）是否邀请服务对象：否 5）是否邀请第三方检测机构：否 6）履约验收程序：一次性验收 7）履约验收时间： 供应商提出验收申请之日起10日内组织验收 8）验收组织的其他事项：以磋商文件及合同内容为准 9）技术履约验收内容：按照国家现行的农药行业质量标准或规范及采购文件相关要求执行。 10）商务履约验收内容：以磋商文件及合同内容为准。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联系人：贾雅楠</w:t>
      </w:r>
    </w:p>
    <w:p>
      <w:pPr>
        <w:pStyle w:val="null3"/>
      </w:pPr>
      <w:r>
        <w:rPr>
          <w:rFonts w:ascii="仿宋_GB2312" w:hAnsi="仿宋_GB2312" w:cs="仿宋_GB2312" w:eastAsia="仿宋_GB2312"/>
        </w:rPr>
        <w:t>联系电话：18778673762</w:t>
      </w:r>
    </w:p>
    <w:p>
      <w:pPr>
        <w:pStyle w:val="null3"/>
      </w:pPr>
      <w:r>
        <w:rPr>
          <w:rFonts w:ascii="仿宋_GB2312" w:hAnsi="仿宋_GB2312" w:cs="仿宋_GB2312" w:eastAsia="仿宋_GB2312"/>
        </w:rPr>
        <w:t>地址：陕西省西安市碑林区和平路71号综合楼5楼</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2025年中央转移支付农业防灾救灾资金农作物病虫害防治计划，项目总投资33万元，全部为2025年中央转移支付农业防灾救灾资金，主要用于：采购小麦地下害虫、茎基腐病等病虫害拌种剂2万亩左右，小麦条锈病、蚜虫等病虫害药剂2.5万亩左右，小麦防治面积合计不少于4.5万亩的药剂费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小麦地下害虫、茎基腐病、条锈病、蚜虫等重大病虫 害防治药剂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标的名称：小麦地下害虫、茎基腐病、条锈病、蚜虫等重大病虫 害防治药剂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color w:val="000000"/>
              </w:rPr>
              <w:t>小麦拌种剂：</w:t>
            </w:r>
          </w:p>
          <w:p>
            <w:pPr>
              <w:pStyle w:val="null3"/>
              <w:jc w:val="both"/>
            </w:pPr>
            <w:r>
              <w:rPr>
                <w:rFonts w:ascii="仿宋_GB2312" w:hAnsi="仿宋_GB2312" w:cs="仿宋_GB2312" w:eastAsia="仿宋_GB2312"/>
                <w:sz w:val="20"/>
                <w:color w:val="000000"/>
              </w:rPr>
              <w:t>1.用药方案：48%苯甲·吡虫啉悬浮种衣剂或苯醚·咯·噻虫悬浮种衣剂(总成分含量≥10%)；</w:t>
            </w:r>
          </w:p>
          <w:p>
            <w:pPr>
              <w:pStyle w:val="null3"/>
              <w:jc w:val="both"/>
            </w:pPr>
            <w:r>
              <w:rPr>
                <w:rFonts w:ascii="仿宋_GB2312" w:hAnsi="仿宋_GB2312" w:cs="仿宋_GB2312" w:eastAsia="仿宋_GB2312"/>
                <w:sz w:val="20"/>
                <w:color w:val="000000"/>
              </w:rPr>
              <w:t>2.规格型号：1000g/瓶；</w:t>
            </w:r>
          </w:p>
          <w:p>
            <w:pPr>
              <w:pStyle w:val="null3"/>
              <w:jc w:val="both"/>
            </w:pPr>
            <w:r>
              <w:rPr>
                <w:rFonts w:ascii="仿宋_GB2312" w:hAnsi="仿宋_GB2312" w:cs="仿宋_GB2312" w:eastAsia="仿宋_GB2312"/>
                <w:sz w:val="20"/>
                <w:color w:val="000000"/>
              </w:rPr>
              <w:t>3.采购</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750</w:t>
            </w:r>
            <w:r>
              <w:rPr>
                <w:rFonts w:ascii="仿宋_GB2312" w:hAnsi="仿宋_GB2312" w:cs="仿宋_GB2312" w:eastAsia="仿宋_GB2312"/>
                <w:sz w:val="20"/>
                <w:color w:val="000000"/>
              </w:rPr>
              <w:t>瓶；</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防治面积：</w:t>
            </w:r>
            <w:r>
              <w:rPr>
                <w:rFonts w:ascii="仿宋_GB2312" w:hAnsi="仿宋_GB2312" w:cs="仿宋_GB2312" w:eastAsia="仿宋_GB2312"/>
                <w:sz w:val="20"/>
                <w:color w:val="000000"/>
              </w:rPr>
              <w:t>≥2万亩。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color w:val="000000"/>
              </w:rPr>
              <w:t>小麦杀虫剂：</w:t>
            </w:r>
          </w:p>
          <w:p>
            <w:pPr>
              <w:pStyle w:val="null3"/>
              <w:jc w:val="both"/>
            </w:pPr>
            <w:r>
              <w:rPr>
                <w:rFonts w:ascii="仿宋_GB2312" w:hAnsi="仿宋_GB2312" w:cs="仿宋_GB2312" w:eastAsia="仿宋_GB2312"/>
                <w:sz w:val="20"/>
                <w:color w:val="000000"/>
              </w:rPr>
              <w:t>1.用药方案：35%联苯·噻虫嗪悬浮剂；</w:t>
            </w:r>
          </w:p>
          <w:p>
            <w:pPr>
              <w:pStyle w:val="null3"/>
              <w:jc w:val="both"/>
            </w:pPr>
            <w:r>
              <w:rPr>
                <w:rFonts w:ascii="仿宋_GB2312" w:hAnsi="仿宋_GB2312" w:cs="仿宋_GB2312" w:eastAsia="仿宋_GB2312"/>
                <w:sz w:val="20"/>
                <w:color w:val="000000"/>
              </w:rPr>
              <w:t>2.规格型号：100g/瓶；</w:t>
            </w:r>
          </w:p>
          <w:p>
            <w:pPr>
              <w:pStyle w:val="null3"/>
              <w:jc w:val="both"/>
            </w:pPr>
            <w:r>
              <w:rPr>
                <w:rFonts w:ascii="仿宋_GB2312" w:hAnsi="仿宋_GB2312" w:cs="仿宋_GB2312" w:eastAsia="仿宋_GB2312"/>
                <w:sz w:val="20"/>
                <w:color w:val="000000"/>
              </w:rPr>
              <w:t>3.采购</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2500</w:t>
            </w:r>
            <w:r>
              <w:rPr>
                <w:rFonts w:ascii="仿宋_GB2312" w:hAnsi="仿宋_GB2312" w:cs="仿宋_GB2312" w:eastAsia="仿宋_GB2312"/>
                <w:sz w:val="20"/>
                <w:color w:val="000000"/>
              </w:rPr>
              <w:t>瓶；</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防治面积：</w:t>
            </w:r>
            <w:r>
              <w:rPr>
                <w:rFonts w:ascii="仿宋_GB2312" w:hAnsi="仿宋_GB2312" w:cs="仿宋_GB2312" w:eastAsia="仿宋_GB2312"/>
                <w:sz w:val="20"/>
                <w:color w:val="000000"/>
              </w:rPr>
              <w:t>≥2.5万亩。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小麦杀菌剂：</w:t>
            </w:r>
          </w:p>
          <w:p>
            <w:pPr>
              <w:pStyle w:val="null3"/>
            </w:pPr>
            <w:r>
              <w:rPr>
                <w:rFonts w:ascii="仿宋_GB2312" w:hAnsi="仿宋_GB2312" w:cs="仿宋_GB2312" w:eastAsia="仿宋_GB2312"/>
                <w:sz w:val="21"/>
                <w:color w:val="000000"/>
              </w:rPr>
              <w:t>1.用药方案：40%丙硫菌唑·戊唑醇悬浮剂；</w:t>
            </w:r>
          </w:p>
          <w:p>
            <w:pPr>
              <w:pStyle w:val="null3"/>
            </w:pPr>
            <w:r>
              <w:rPr>
                <w:rFonts w:ascii="仿宋_GB2312" w:hAnsi="仿宋_GB2312" w:cs="仿宋_GB2312" w:eastAsia="仿宋_GB2312"/>
                <w:sz w:val="21"/>
                <w:color w:val="000000"/>
              </w:rPr>
              <w:t>2.规格型号：400g/瓶；</w:t>
            </w:r>
          </w:p>
          <w:p>
            <w:pPr>
              <w:pStyle w:val="null3"/>
            </w:pPr>
            <w:r>
              <w:rPr>
                <w:rFonts w:ascii="仿宋_GB2312" w:hAnsi="仿宋_GB2312" w:cs="仿宋_GB2312" w:eastAsia="仿宋_GB2312"/>
                <w:sz w:val="21"/>
                <w:color w:val="000000"/>
              </w:rPr>
              <w:t>3.采购数量：2500瓶；</w:t>
            </w:r>
          </w:p>
          <w:p>
            <w:pPr>
              <w:pStyle w:val="null3"/>
            </w:pPr>
            <w:r>
              <w:rPr>
                <w:rFonts w:ascii="仿宋_GB2312" w:hAnsi="仿宋_GB2312" w:cs="仿宋_GB2312" w:eastAsia="仿宋_GB2312"/>
                <w:sz w:val="21"/>
                <w:color w:val="000000"/>
              </w:rPr>
              <w:t>4.防治面积：≥2.5万亩。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项目内容完成，并经专家组验收通过后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①验收交付标准：按照国家现行的农药行业质量标准或规范及采购文件相关要求执行。 ②验收方法：由采购人自行验收。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产品质保期：当年新生产或者在至少6个月保质期内。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生效后双方应严格履行。若双方任一方存在违约行为的，违约方应当向守约方承担违约责任，并赔偿守约方遭受的经济损失（包括但不限于实现债权所产生的律师费、诉讼费等，具体以双方签署合同相关条款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单位在领取成交通知书前，须向采购代理机构提供纸质版响应文件2套（1正1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提供2024年9月至今已缴纳的至少一个月的纳税证明或完税证明，依法免税的单位应提供相关证明材料。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以响应文件中所附材料或现场网查信息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法定代表人（主要负责人）参与磋商时，提供法定代表人（主要负责人）身份证明；授权代表参与磋商时，提供法定代表人（主要负责人）授权委托书。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经销商的，须提供合格有效的农药经营许可证及生产厂家的农药“三证”(农药生产许可证、农药登记证、农药标准证)；供应商为生产厂家的，须提供合格有效的农药“三证”(农药生产许可证、农药登记证、农药标准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未超出采购预算、最高限价。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响应文件的组成</w:t>
            </w:r>
          </w:p>
        </w:tc>
        <w:tc>
          <w:tcPr>
            <w:tcW w:type="dxa" w:w="3322"/>
          </w:tcPr>
          <w:p>
            <w:pPr>
              <w:pStyle w:val="null3"/>
            </w:pPr>
            <w:r>
              <w:rPr>
                <w:rFonts w:ascii="仿宋_GB2312" w:hAnsi="仿宋_GB2312" w:cs="仿宋_GB2312" w:eastAsia="仿宋_GB2312"/>
              </w:rPr>
              <w:t>按照磋商文件的规定和要求编制响应文件。</w:t>
            </w:r>
          </w:p>
        </w:tc>
        <w:tc>
          <w:tcPr>
            <w:tcW w:type="dxa" w:w="1661"/>
          </w:tcPr>
          <w:p>
            <w:pPr>
              <w:pStyle w:val="null3"/>
            </w:pPr>
            <w:r>
              <w:rPr>
                <w:rFonts w:ascii="仿宋_GB2312" w:hAnsi="仿宋_GB2312" w:cs="仿宋_GB2312" w:eastAsia="仿宋_GB2312"/>
              </w:rPr>
              <w:t>响应文件封面 产品技术参数表 磋商响应方案.docx 供应商应提交的相关资格证明材料.docx 中小企业声明函 残疾人福利性单位声明函 商务应答表 供应商概况与承诺.docx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磋商响应方案.docx 类似项目业绩一览表.docx 中小企业声明函 商务应答表 供应商概况与承诺.docx 供应商认为有必要提供的其他资料.docx 响应文件封面 产品技术参数表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签字盖章均符合磋商文件要求，且无遗漏。</w:t>
            </w:r>
          </w:p>
        </w:tc>
        <w:tc>
          <w:tcPr>
            <w:tcW w:type="dxa" w:w="1661"/>
          </w:tcPr>
          <w:p>
            <w:pPr>
              <w:pStyle w:val="null3"/>
            </w:pPr>
            <w:r>
              <w:rPr>
                <w:rFonts w:ascii="仿宋_GB2312" w:hAnsi="仿宋_GB2312" w:cs="仿宋_GB2312" w:eastAsia="仿宋_GB2312"/>
              </w:rPr>
              <w:t>磋商响应方案.docx 类似项目业绩一览表.docx 中小企业声明函 商务应答表 供应商概况与承诺.docx 供应商认为有必要提供的其他资料.docx 响应文件封面 产品技术参数表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磋商响应方案.docx 类似项目业绩一览表.docx 中小企业声明函 商务应答表 供应商概况与承诺.docx 供应商认为有必要提供的其他资料.docx 响应文件封面 产品技术参数表 供应商应提交的相关资格证明材料.docx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评审内容：供应商针对本项目提出具体的供货方案，方案内容包含：①备货方案②检验方案③运输方案④人员配备⑤储存方案⑥进度保障方案 评审标准：方案内容全面详细、阐述条理清晰，具有针对性，能有效保障本项目实施得24分，每有一项内容缺项扣4分，每有一项有内容但内容存在缺陷，扣1分，扣完为止。（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评审内容：供应商针对所投产品提供产品来源渠道的证明材料，包括但不限于质量检测报告或农药质量合格证。 评审标准：证明材料合格有效得6分，每缺一种产品的证明资料扣2分。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评审内容：①供货期的药品、人员等具有安全保障措施②应急处理措施 评审标准：方案内容全面详细、阐述条理清晰，具有针对性，能有效保障本项目实施得6分，每有一项内容缺项扣3分，每有一项有内容但内容存在缺陷，扣1分，扣完为止。（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评审内容：供应商针对本项目提出具体的售后服务方案，方案内容包含：①售后服务保障体系②售后服务人员组织③售后服务承诺。 评审标准：方案内容全面详细、阐述条理清晰，具有针对性，能有效保障本项目实施得12分，每有一项内容缺项扣4分，每有一项有内容但内容存在缺陷，扣1分，扣完为止。（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审内容：供应商具备履约能力包括①仓储设施②运输工具③管理水平。评审标准：方案内容全面详细、阐述条理清晰，具有针对性，能有效保障本项目实施得12分，每有一项内容缺项扣4分，每有一项有内容但内容存在缺陷，扣1分，扣完为止。（备注：缺陷是指内容不合理、不详细具体、表述前后不一致、条理不清晰、凭空编造、逻辑漏洞、常识性错误、套用其他项目内容、与项目需求不匹配、不可能实现的夸大情形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评审内容：供应商自2022年1月1日起类似项目业绩，需提供合同复印件（扫描件）加盖公章（时间以合同签订日期为准）,每提供1份合格业绩计2分，最高10分。不提供不得分。 评审依据：以响应文件中提供的合同复印件（扫描件）为准。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评审基准价，其价格分为满分。其他供应商的价格分统一按照下列公式计算：磋商报价得分=（评审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详见附件：供应商概况与承诺.docx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详见附件：供应商认为有必要提供的其他资料.docx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