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83FEA">
      <w:pPr>
        <w:keepLines w:val="0"/>
        <w:pageBreakBefore w:val="0"/>
        <w:bidi w:val="0"/>
        <w:spacing w:line="560" w:lineRule="exact"/>
        <w:ind w:firstLine="481"/>
        <w:jc w:val="center"/>
        <w:rPr>
          <w:rFonts w:hint="eastAsia" w:ascii="黑体" w:hAnsi="黑体" w:eastAsia="黑体" w:cs="黑体"/>
          <w:b/>
          <w:bCs/>
          <w:sz w:val="36"/>
          <w:szCs w:val="36"/>
          <w:highlight w:val="none"/>
        </w:rPr>
      </w:pPr>
      <w:bookmarkStart w:id="0" w:name="_Toc19026"/>
      <w:bookmarkStart w:id="1" w:name="_Toc5163"/>
      <w:bookmarkStart w:id="2" w:name="_Toc24356"/>
      <w:bookmarkStart w:id="3" w:name="_Toc5692"/>
      <w:bookmarkStart w:id="4" w:name="_Toc32018"/>
      <w:r>
        <w:rPr>
          <w:rFonts w:hint="eastAsia" w:ascii="黑体" w:hAnsi="黑体" w:eastAsia="黑体" w:cs="黑体"/>
          <w:b/>
          <w:bCs/>
          <w:sz w:val="36"/>
          <w:szCs w:val="36"/>
          <w:highlight w:val="none"/>
        </w:rPr>
        <w:t>拟签订的合同文本</w:t>
      </w:r>
    </w:p>
    <w:p w14:paraId="5D78924D">
      <w:pPr>
        <w:keepLines w:val="0"/>
        <w:pageBreakBefore w:val="0"/>
        <w:bidi w:val="0"/>
        <w:spacing w:line="560" w:lineRule="exact"/>
        <w:rPr>
          <w:rFonts w:hint="eastAsia" w:ascii="宋体" w:hAnsi="宋体" w:eastAsia="宋体" w:cs="宋体"/>
          <w:b/>
          <w:u w:val="single"/>
        </w:rPr>
      </w:pPr>
      <w:r>
        <w:rPr>
          <w:rFonts w:hint="eastAsia" w:ascii="宋体" w:hAnsi="宋体" w:eastAsia="宋体" w:cs="宋体"/>
          <w:b/>
          <w:u w:val="single"/>
        </w:rPr>
        <w:t>注：本合同仅为合同的参考文本，合同签订双方可根据项目的具体要求进行修订。</w:t>
      </w:r>
      <w:bookmarkEnd w:id="0"/>
      <w:bookmarkEnd w:id="1"/>
      <w:bookmarkEnd w:id="2"/>
      <w:bookmarkEnd w:id="3"/>
      <w:bookmarkEnd w:id="4"/>
    </w:p>
    <w:p w14:paraId="06A4221A">
      <w:pPr>
        <w:overflowPunct/>
        <w:topLinePunct w:val="0"/>
        <w:bidi w:val="0"/>
        <w:spacing w:line="560" w:lineRule="exact"/>
        <w:jc w:val="center"/>
        <w:rPr>
          <w:rFonts w:hint="eastAsia" w:ascii="宋体" w:hAnsi="宋体" w:eastAsia="宋体" w:cs="宋体"/>
          <w:b/>
          <w:bCs/>
          <w:color w:val="000000"/>
          <w:sz w:val="44"/>
          <w:szCs w:val="44"/>
          <w:lang w:eastAsia="zh-CN"/>
        </w:rPr>
      </w:pPr>
      <w:bookmarkStart w:id="5" w:name="_Toc30395"/>
    </w:p>
    <w:p w14:paraId="4C9EC304">
      <w:pPr>
        <w:overflowPunct/>
        <w:topLinePunct w:val="0"/>
        <w:bidi w:val="0"/>
        <w:spacing w:line="560" w:lineRule="exact"/>
        <w:jc w:val="center"/>
        <w:rPr>
          <w:rFonts w:hint="eastAsia" w:ascii="宋体" w:hAnsi="宋体" w:eastAsia="宋体" w:cs="宋体"/>
          <w:b/>
          <w:bCs/>
          <w:color w:val="000000"/>
          <w:sz w:val="44"/>
          <w:szCs w:val="44"/>
          <w:lang w:eastAsia="zh-CN"/>
        </w:rPr>
      </w:pPr>
    </w:p>
    <w:p w14:paraId="733ACF41">
      <w:pPr>
        <w:overflowPunct/>
        <w:topLinePunct w:val="0"/>
        <w:bidi w:val="0"/>
        <w:spacing w:line="560" w:lineRule="exact"/>
        <w:jc w:val="center"/>
        <w:rPr>
          <w:rFonts w:hint="eastAsia" w:ascii="宋体" w:hAnsi="宋体" w:eastAsia="宋体" w:cs="宋体"/>
          <w:b/>
          <w:bCs/>
          <w:color w:val="000000"/>
          <w:sz w:val="44"/>
          <w:szCs w:val="44"/>
          <w:lang w:eastAsia="zh-CN"/>
        </w:rPr>
      </w:pPr>
      <w:r>
        <w:rPr>
          <w:rFonts w:hint="eastAsia" w:ascii="宋体" w:hAnsi="宋体" w:eastAsia="宋体" w:cs="宋体"/>
          <w:b/>
          <w:bCs/>
          <w:color w:val="000000"/>
          <w:sz w:val="44"/>
          <w:szCs w:val="44"/>
          <w:lang w:eastAsia="zh-CN"/>
        </w:rPr>
        <w:t>2025年中央转移支付农业防灾救灾资金农作物病虫害防治</w:t>
      </w:r>
    </w:p>
    <w:p w14:paraId="3B11E293">
      <w:pPr>
        <w:overflowPunct/>
        <w:topLinePunct w:val="0"/>
        <w:bidi w:val="0"/>
        <w:spacing w:line="560" w:lineRule="exact"/>
        <w:jc w:val="center"/>
        <w:rPr>
          <w:rFonts w:hint="eastAsia" w:ascii="宋体" w:hAnsi="宋体" w:eastAsia="宋体" w:cs="宋体"/>
          <w:b/>
          <w:bCs/>
          <w:color w:val="FF0000"/>
          <w:sz w:val="44"/>
          <w:szCs w:val="44"/>
          <w:lang w:eastAsia="zh-CN"/>
        </w:rPr>
      </w:pPr>
    </w:p>
    <w:p w14:paraId="3B10E63F">
      <w:pPr>
        <w:overflowPunct/>
        <w:topLinePunct w:val="0"/>
        <w:bidi w:val="0"/>
        <w:spacing w:line="560" w:lineRule="exact"/>
        <w:jc w:val="center"/>
        <w:rPr>
          <w:rFonts w:hint="eastAsia" w:ascii="宋体" w:hAnsi="宋体" w:eastAsia="宋体" w:cs="宋体"/>
          <w:b/>
          <w:bCs/>
          <w:sz w:val="40"/>
          <w:szCs w:val="48"/>
        </w:rPr>
      </w:pPr>
    </w:p>
    <w:p w14:paraId="4AA385BB">
      <w:pPr>
        <w:overflowPunct/>
        <w:topLinePunct w:val="0"/>
        <w:bidi w:val="0"/>
        <w:spacing w:line="560" w:lineRule="exact"/>
        <w:jc w:val="center"/>
        <w:rPr>
          <w:rFonts w:hint="eastAsia" w:ascii="宋体" w:hAnsi="宋体" w:eastAsia="宋体" w:cs="宋体"/>
          <w:b/>
          <w:bCs/>
          <w:sz w:val="40"/>
          <w:szCs w:val="48"/>
        </w:rPr>
      </w:pPr>
    </w:p>
    <w:p w14:paraId="28650030">
      <w:pPr>
        <w:overflowPunct/>
        <w:topLinePunct w:val="0"/>
        <w:bidi w:val="0"/>
        <w:spacing w:line="560" w:lineRule="exact"/>
        <w:jc w:val="both"/>
        <w:rPr>
          <w:rFonts w:hint="eastAsia" w:ascii="宋体" w:hAnsi="宋体" w:eastAsia="宋体" w:cs="宋体"/>
          <w:b/>
          <w:bCs/>
          <w:sz w:val="40"/>
          <w:szCs w:val="48"/>
        </w:rPr>
      </w:pPr>
    </w:p>
    <w:p w14:paraId="259BEE6E">
      <w:pPr>
        <w:overflowPunct/>
        <w:topLinePunct w:val="0"/>
        <w:bidi w:val="0"/>
        <w:spacing w:line="360" w:lineRule="auto"/>
        <w:jc w:val="center"/>
        <w:rPr>
          <w:rFonts w:hint="eastAsia" w:ascii="宋体" w:hAnsi="宋体" w:eastAsia="宋体" w:cs="宋体"/>
          <w:b/>
          <w:bCs/>
          <w:sz w:val="52"/>
          <w:szCs w:val="72"/>
        </w:rPr>
      </w:pPr>
      <w:r>
        <w:rPr>
          <w:rFonts w:hint="eastAsia" w:ascii="宋体" w:hAnsi="宋体" w:eastAsia="宋体" w:cs="宋体"/>
          <w:b/>
          <w:bCs/>
          <w:sz w:val="52"/>
          <w:szCs w:val="72"/>
        </w:rPr>
        <w:t>采购合同</w:t>
      </w:r>
    </w:p>
    <w:p w14:paraId="126F17DA">
      <w:pPr>
        <w:overflowPunct/>
        <w:topLinePunct w:val="0"/>
        <w:bidi w:val="0"/>
        <w:spacing w:line="560" w:lineRule="exact"/>
        <w:jc w:val="center"/>
        <w:rPr>
          <w:rFonts w:hint="eastAsia" w:ascii="宋体" w:hAnsi="宋体" w:eastAsia="宋体" w:cs="宋体"/>
          <w:b/>
          <w:sz w:val="36"/>
          <w:szCs w:val="36"/>
        </w:rPr>
      </w:pPr>
    </w:p>
    <w:p w14:paraId="7ED90593">
      <w:pPr>
        <w:overflowPunct/>
        <w:topLinePunct w:val="0"/>
        <w:bidi w:val="0"/>
        <w:spacing w:line="560" w:lineRule="exact"/>
        <w:jc w:val="center"/>
        <w:rPr>
          <w:rFonts w:hint="eastAsia" w:ascii="宋体" w:hAnsi="宋体" w:eastAsia="宋体" w:cs="宋体"/>
          <w:b/>
          <w:sz w:val="36"/>
          <w:szCs w:val="36"/>
        </w:rPr>
      </w:pPr>
      <w:r>
        <w:rPr>
          <w:rFonts w:hint="eastAsia" w:ascii="宋体" w:hAnsi="宋体" w:eastAsia="宋体" w:cs="宋体"/>
          <w:b/>
          <w:sz w:val="36"/>
          <w:szCs w:val="36"/>
        </w:rPr>
        <w:t>（示范文本）</w:t>
      </w:r>
    </w:p>
    <w:p w14:paraId="5C730691">
      <w:pPr>
        <w:pStyle w:val="3"/>
        <w:rPr>
          <w:rFonts w:hint="eastAsia" w:ascii="宋体" w:hAnsi="宋体" w:eastAsia="宋体" w:cs="宋体"/>
          <w:b/>
          <w:sz w:val="36"/>
          <w:szCs w:val="36"/>
        </w:rPr>
      </w:pPr>
    </w:p>
    <w:p w14:paraId="3C4A511E">
      <w:pPr>
        <w:pStyle w:val="11"/>
        <w:rPr>
          <w:rFonts w:hint="eastAsia" w:ascii="宋体" w:hAnsi="宋体" w:eastAsia="宋体" w:cs="宋体"/>
          <w:b/>
          <w:sz w:val="36"/>
          <w:szCs w:val="36"/>
          <w:lang w:eastAsia="zh-CN"/>
        </w:rPr>
      </w:pPr>
    </w:p>
    <w:p w14:paraId="1B33125B">
      <w:pPr>
        <w:pStyle w:val="11"/>
        <w:rPr>
          <w:rFonts w:hint="eastAsia" w:ascii="宋体" w:hAnsi="宋体" w:eastAsia="宋体" w:cs="宋体"/>
          <w:b/>
          <w:sz w:val="36"/>
          <w:szCs w:val="36"/>
          <w:lang w:eastAsia="zh-CN"/>
        </w:rPr>
      </w:pPr>
    </w:p>
    <w:p w14:paraId="480B2CFC">
      <w:pPr>
        <w:pStyle w:val="11"/>
        <w:rPr>
          <w:rFonts w:hint="eastAsia" w:ascii="宋体" w:hAnsi="宋体" w:eastAsia="宋体" w:cs="宋体"/>
          <w:b/>
          <w:sz w:val="36"/>
          <w:szCs w:val="36"/>
          <w:lang w:eastAsia="zh-CN"/>
        </w:rPr>
      </w:pPr>
    </w:p>
    <w:p w14:paraId="678C84FA">
      <w:pPr>
        <w:pStyle w:val="11"/>
        <w:rPr>
          <w:rFonts w:hint="eastAsia" w:ascii="宋体" w:hAnsi="宋体" w:eastAsia="宋体" w:cs="宋体"/>
          <w:b/>
          <w:sz w:val="36"/>
          <w:szCs w:val="36"/>
        </w:rPr>
      </w:pPr>
    </w:p>
    <w:p w14:paraId="0F9C3FB1">
      <w:pPr>
        <w:pStyle w:val="11"/>
        <w:rPr>
          <w:rFonts w:hint="eastAsia" w:ascii="宋体" w:hAnsi="宋体" w:eastAsia="宋体" w:cs="宋体"/>
          <w:b/>
          <w:sz w:val="36"/>
          <w:szCs w:val="36"/>
        </w:rPr>
      </w:pPr>
    </w:p>
    <w:p w14:paraId="336E325E">
      <w:pPr>
        <w:pStyle w:val="11"/>
        <w:spacing w:line="360" w:lineRule="auto"/>
        <w:ind w:firstLine="1687" w:firstLineChars="600"/>
        <w:rPr>
          <w:rFonts w:hint="eastAsia" w:ascii="宋体" w:hAnsi="宋体" w:eastAsia="宋体" w:cs="宋体"/>
          <w:b/>
          <w:bCs/>
          <w:sz w:val="28"/>
          <w:szCs w:val="28"/>
          <w:lang w:val="en-US" w:eastAsia="zh-CN"/>
        </w:rPr>
      </w:pPr>
      <w:r>
        <w:rPr>
          <w:rFonts w:hint="eastAsia" w:ascii="宋体" w:hAnsi="宋体" w:eastAsia="宋体" w:cs="宋体"/>
          <w:b/>
          <w:bCs/>
          <w:sz w:val="28"/>
          <w:szCs w:val="28"/>
        </w:rPr>
        <w:t>甲方（</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采</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购</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人</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w:t>
      </w:r>
      <w:r>
        <w:rPr>
          <w:rFonts w:hint="eastAsia" w:ascii="宋体" w:hAnsi="宋体" w:eastAsia="宋体" w:cs="宋体"/>
          <w:b/>
          <w:bCs/>
          <w:sz w:val="28"/>
          <w:szCs w:val="28"/>
          <w:u w:val="single"/>
          <w:lang w:val="en-US" w:eastAsia="zh-CN"/>
        </w:rPr>
        <w:t xml:space="preserve">                  </w:t>
      </w:r>
    </w:p>
    <w:p w14:paraId="16F3C752">
      <w:pPr>
        <w:pStyle w:val="11"/>
        <w:spacing w:line="360" w:lineRule="auto"/>
        <w:ind w:firstLine="1687" w:firstLineChars="600"/>
        <w:rPr>
          <w:rFonts w:hint="eastAsia" w:ascii="宋体" w:hAnsi="宋体" w:eastAsia="宋体" w:cs="宋体"/>
          <w:b/>
          <w:bCs/>
          <w:sz w:val="28"/>
          <w:szCs w:val="28"/>
          <w:u w:val="single"/>
          <w:lang w:val="en-US" w:eastAsia="zh-CN"/>
        </w:rPr>
      </w:pPr>
      <w:r>
        <w:rPr>
          <w:rFonts w:hint="eastAsia" w:ascii="宋体" w:hAnsi="宋体" w:eastAsia="宋体" w:cs="宋体"/>
          <w:b/>
          <w:bCs/>
          <w:sz w:val="28"/>
          <w:szCs w:val="28"/>
        </w:rPr>
        <w:t>乙方（成交供应商）：</w:t>
      </w:r>
      <w:r>
        <w:rPr>
          <w:rFonts w:hint="eastAsia" w:ascii="宋体" w:hAnsi="宋体" w:eastAsia="宋体" w:cs="宋体"/>
          <w:b/>
          <w:bCs/>
          <w:sz w:val="28"/>
          <w:szCs w:val="28"/>
          <w:u w:val="single"/>
          <w:lang w:val="en-US" w:eastAsia="zh-CN"/>
        </w:rPr>
        <w:t xml:space="preserve">                  </w:t>
      </w:r>
    </w:p>
    <w:p w14:paraId="787AE511">
      <w:pPr>
        <w:widowControl/>
        <w:autoSpaceDE/>
        <w:autoSpaceDN/>
        <w:adjustRightInd/>
        <w:spacing w:after="240" w:afterLines="100" w:line="400" w:lineRule="atLeast"/>
        <w:ind w:firstLine="422" w:firstLineChars="150"/>
        <w:jc w:val="center"/>
        <w:rPr>
          <w:rFonts w:hint="eastAsia" w:ascii="仿宋" w:hAnsi="仿宋" w:eastAsia="仿宋" w:cs="仿宋"/>
          <w:b/>
          <w:color w:val="auto"/>
          <w:kern w:val="2"/>
          <w:sz w:val="44"/>
          <w:szCs w:val="44"/>
        </w:rPr>
      </w:pPr>
      <w:r>
        <w:rPr>
          <w:rFonts w:hint="eastAsia" w:ascii="宋体" w:hAnsi="宋体" w:eastAsia="宋体" w:cs="宋体"/>
          <w:b/>
          <w:bCs/>
          <w:sz w:val="28"/>
          <w:szCs w:val="28"/>
          <w:u w:val="single"/>
          <w:lang w:val="en-US" w:eastAsia="zh-CN"/>
        </w:rPr>
        <w:br w:type="page"/>
      </w:r>
      <w:bookmarkEnd w:id="5"/>
      <w:r>
        <w:rPr>
          <w:rFonts w:hint="eastAsia" w:ascii="仿宋" w:hAnsi="仿宋" w:eastAsia="仿宋" w:cs="仿宋"/>
          <w:b/>
          <w:color w:val="auto"/>
          <w:kern w:val="2"/>
          <w:sz w:val="44"/>
          <w:szCs w:val="44"/>
        </w:rPr>
        <w:t>政府采购合同</w:t>
      </w:r>
    </w:p>
    <w:p w14:paraId="3403657C">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合同编号：</w:t>
      </w:r>
    </w:p>
    <w:p w14:paraId="0D096FC2">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签订地点：</w:t>
      </w:r>
    </w:p>
    <w:p w14:paraId="294F490B">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签订时间：   年   月   日</w:t>
      </w:r>
    </w:p>
    <w:p w14:paraId="269449C5">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采购人（甲方）：</w:t>
      </w:r>
    </w:p>
    <w:p w14:paraId="77943D99">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供应商（乙方）：</w:t>
      </w:r>
    </w:p>
    <w:p w14:paraId="60D53F3B">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根据《中华人民共和国政府采购法》及实施条例、《中华人民共和国</w:t>
      </w:r>
      <w:r>
        <w:rPr>
          <w:rFonts w:hint="eastAsia" w:ascii="宋体" w:hAnsi="宋体" w:cs="宋体"/>
          <w:color w:val="auto"/>
          <w:kern w:val="2"/>
          <w:sz w:val="24"/>
          <w:szCs w:val="24"/>
          <w:lang w:val="en-US" w:eastAsia="zh-CN"/>
        </w:rPr>
        <w:t>民法典</w:t>
      </w:r>
      <w:r>
        <w:rPr>
          <w:rFonts w:hint="eastAsia" w:ascii="宋体" w:hAnsi="宋体" w:eastAsia="宋体" w:cs="宋体"/>
          <w:color w:val="auto"/>
          <w:kern w:val="2"/>
          <w:sz w:val="24"/>
          <w:szCs w:val="24"/>
        </w:rPr>
        <w:t>》和甲方</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u w:val="single"/>
          <w:lang w:val="en-US" w:eastAsia="zh-CN"/>
        </w:rPr>
        <w:t xml:space="preserve">        </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rPr>
        <w:t>采购项目（采购项目编号：</w:t>
      </w:r>
      <w:r>
        <w:rPr>
          <w:rFonts w:hint="eastAsia" w:ascii="宋体" w:hAnsi="宋体" w:eastAsia="宋体" w:cs="宋体"/>
          <w:color w:val="auto"/>
          <w:kern w:val="2"/>
          <w:sz w:val="24"/>
          <w:szCs w:val="24"/>
          <w:u w:val="single"/>
          <w:lang w:val="en-US" w:eastAsia="zh-CN"/>
        </w:rPr>
        <w:t xml:space="preserve">          </w:t>
      </w:r>
      <w:r>
        <w:rPr>
          <w:rFonts w:hint="eastAsia" w:ascii="宋体" w:hAnsi="宋体" w:eastAsia="宋体" w:cs="宋体"/>
          <w:color w:val="auto"/>
          <w:kern w:val="2"/>
          <w:sz w:val="24"/>
          <w:szCs w:val="24"/>
        </w:rPr>
        <w:t>）的</w:t>
      </w:r>
      <w:r>
        <w:rPr>
          <w:rFonts w:hint="eastAsia" w:ascii="宋体" w:hAnsi="宋体" w:eastAsia="宋体" w:cs="宋体"/>
          <w:color w:val="auto"/>
          <w:kern w:val="2"/>
          <w:sz w:val="24"/>
          <w:szCs w:val="24"/>
          <w:lang w:val="en-US" w:eastAsia="zh-CN"/>
        </w:rPr>
        <w:t>采购文件</w:t>
      </w:r>
      <w:r>
        <w:rPr>
          <w:rFonts w:hint="eastAsia" w:ascii="宋体" w:hAnsi="宋体" w:eastAsia="宋体" w:cs="宋体"/>
          <w:color w:val="auto"/>
          <w:kern w:val="2"/>
          <w:sz w:val="24"/>
          <w:szCs w:val="24"/>
        </w:rPr>
        <w:t>、</w:t>
      </w:r>
      <w:r>
        <w:rPr>
          <w:rFonts w:hint="eastAsia" w:ascii="宋体" w:hAnsi="宋体" w:eastAsia="宋体" w:cs="宋体"/>
          <w:color w:val="auto"/>
          <w:kern w:val="2"/>
          <w:sz w:val="24"/>
          <w:szCs w:val="24"/>
          <w:lang w:val="en-US" w:eastAsia="zh-CN"/>
        </w:rPr>
        <w:t>响应文件</w:t>
      </w:r>
      <w:r>
        <w:rPr>
          <w:rFonts w:hint="eastAsia" w:ascii="宋体" w:hAnsi="宋体" w:eastAsia="宋体" w:cs="宋体"/>
          <w:color w:val="auto"/>
          <w:kern w:val="2"/>
          <w:sz w:val="24"/>
          <w:szCs w:val="24"/>
        </w:rPr>
        <w:t>等有关规定，为确保甲方采购项目的顺利实施，甲、乙双方在平等自愿原则下签订本合同，并共同遵守如下条款：</w:t>
      </w:r>
    </w:p>
    <w:p w14:paraId="7C14B704">
      <w:pPr>
        <w:keepNext w:val="0"/>
        <w:keepLines w:val="0"/>
        <w:pageBreakBefore w:val="0"/>
        <w:widowControl w:val="0"/>
        <w:kinsoku/>
        <w:wordWrap/>
        <w:overflowPunct/>
        <w:topLinePunct w:val="0"/>
        <w:autoSpaceDE/>
        <w:autoSpaceDN/>
        <w:bidi w:val="0"/>
        <w:adjustRightInd/>
        <w:snapToGrid/>
        <w:spacing w:line="600" w:lineRule="exact"/>
        <w:ind w:left="0" w:leftChars="0" w:firstLine="482" w:firstLineChars="200"/>
        <w:jc w:val="both"/>
        <w:textAlignment w:val="auto"/>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第一条 合同标的及数量</w:t>
      </w:r>
    </w:p>
    <w:p w14:paraId="23CFD64C">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乙方向甲方提供下列货物（产品）：</w:t>
      </w:r>
    </w:p>
    <w:p w14:paraId="6BD8A3E4">
      <w:pPr>
        <w:pageBreakBefore w:val="0"/>
        <w:widowControl w:val="0"/>
        <w:kinsoku/>
        <w:wordWrap/>
        <w:overflowPunct/>
        <w:topLinePunct w:val="0"/>
        <w:autoSpaceDE/>
        <w:autoSpaceDN/>
        <w:bidi w:val="0"/>
        <w:adjustRightInd/>
        <w:spacing w:line="600" w:lineRule="exact"/>
        <w:ind w:left="0" w:leftChars="0" w:firstLine="0"/>
        <w:jc w:val="center"/>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供货一览表</w:t>
      </w:r>
    </w:p>
    <w:tbl>
      <w:tblPr>
        <w:tblStyle w:val="9"/>
        <w:tblW w:w="8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1213"/>
        <w:gridCol w:w="898"/>
        <w:gridCol w:w="1233"/>
        <w:gridCol w:w="741"/>
        <w:gridCol w:w="741"/>
        <w:gridCol w:w="1213"/>
        <w:gridCol w:w="1306"/>
        <w:gridCol w:w="734"/>
      </w:tblGrid>
      <w:tr w14:paraId="15AEF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715" w:type="dxa"/>
            <w:noWrap w:val="0"/>
            <w:vAlign w:val="center"/>
          </w:tcPr>
          <w:p w14:paraId="4F9BEE3C">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1213" w:type="dxa"/>
            <w:noWrap w:val="0"/>
            <w:vAlign w:val="center"/>
          </w:tcPr>
          <w:p w14:paraId="3F5D48BD">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产品名称</w:t>
            </w:r>
          </w:p>
        </w:tc>
        <w:tc>
          <w:tcPr>
            <w:tcW w:w="898" w:type="dxa"/>
            <w:noWrap w:val="0"/>
            <w:vAlign w:val="center"/>
          </w:tcPr>
          <w:p w14:paraId="6E80777A">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品牌</w:t>
            </w:r>
          </w:p>
        </w:tc>
        <w:tc>
          <w:tcPr>
            <w:tcW w:w="1233" w:type="dxa"/>
            <w:noWrap w:val="0"/>
            <w:vAlign w:val="center"/>
          </w:tcPr>
          <w:p w14:paraId="44CE65C7">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型号规格</w:t>
            </w:r>
          </w:p>
        </w:tc>
        <w:tc>
          <w:tcPr>
            <w:tcW w:w="741" w:type="dxa"/>
            <w:noWrap w:val="0"/>
            <w:vAlign w:val="center"/>
          </w:tcPr>
          <w:p w14:paraId="0DC594E4">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计量单位</w:t>
            </w:r>
          </w:p>
        </w:tc>
        <w:tc>
          <w:tcPr>
            <w:tcW w:w="741" w:type="dxa"/>
            <w:noWrap w:val="0"/>
            <w:vAlign w:val="center"/>
          </w:tcPr>
          <w:p w14:paraId="451C0378">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数量</w:t>
            </w:r>
          </w:p>
        </w:tc>
        <w:tc>
          <w:tcPr>
            <w:tcW w:w="1213" w:type="dxa"/>
            <w:noWrap w:val="0"/>
            <w:vAlign w:val="center"/>
          </w:tcPr>
          <w:p w14:paraId="766F4CFD">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单价（元）</w:t>
            </w:r>
          </w:p>
        </w:tc>
        <w:tc>
          <w:tcPr>
            <w:tcW w:w="1306" w:type="dxa"/>
            <w:noWrap w:val="0"/>
            <w:vAlign w:val="center"/>
          </w:tcPr>
          <w:p w14:paraId="77785A34">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金额</w:t>
            </w:r>
            <w:r>
              <w:rPr>
                <w:rFonts w:hint="eastAsia" w:ascii="宋体" w:hAnsi="宋体" w:eastAsia="宋体" w:cs="宋体"/>
                <w:color w:val="auto"/>
                <w:kern w:val="0"/>
                <w:sz w:val="24"/>
                <w:szCs w:val="24"/>
              </w:rPr>
              <w:t>（元）</w:t>
            </w:r>
          </w:p>
        </w:tc>
        <w:tc>
          <w:tcPr>
            <w:tcW w:w="734" w:type="dxa"/>
            <w:noWrap w:val="0"/>
            <w:vAlign w:val="center"/>
          </w:tcPr>
          <w:p w14:paraId="12B931D1">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备注</w:t>
            </w:r>
          </w:p>
        </w:tc>
      </w:tr>
      <w:tr w14:paraId="56DE1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15" w:type="dxa"/>
            <w:noWrap w:val="0"/>
            <w:vAlign w:val="center"/>
          </w:tcPr>
          <w:p w14:paraId="3F427376">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213" w:type="dxa"/>
            <w:noWrap w:val="0"/>
            <w:vAlign w:val="center"/>
          </w:tcPr>
          <w:p w14:paraId="619C4B07">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898" w:type="dxa"/>
            <w:noWrap w:val="0"/>
            <w:vAlign w:val="center"/>
          </w:tcPr>
          <w:p w14:paraId="4FB249C6">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233" w:type="dxa"/>
            <w:noWrap w:val="0"/>
            <w:vAlign w:val="center"/>
          </w:tcPr>
          <w:p w14:paraId="17E2967B">
            <w:pPr>
              <w:pageBreakBefore w:val="0"/>
              <w:kinsoku/>
              <w:wordWrap/>
              <w:overflowPunct/>
              <w:topLinePunct w:val="0"/>
              <w:autoSpaceDE/>
              <w:autoSpaceDN/>
              <w:bidi w:val="0"/>
              <w:adjustRightInd/>
              <w:spacing w:line="600" w:lineRule="exact"/>
              <w:ind w:left="0" w:leftChars="0"/>
              <w:jc w:val="both"/>
              <w:rPr>
                <w:rFonts w:hint="eastAsia" w:ascii="宋体" w:hAnsi="宋体" w:eastAsia="宋体" w:cs="宋体"/>
                <w:color w:val="auto"/>
                <w:kern w:val="0"/>
                <w:sz w:val="24"/>
                <w:szCs w:val="24"/>
              </w:rPr>
            </w:pPr>
          </w:p>
        </w:tc>
        <w:tc>
          <w:tcPr>
            <w:tcW w:w="741" w:type="dxa"/>
            <w:noWrap w:val="0"/>
            <w:vAlign w:val="center"/>
          </w:tcPr>
          <w:p w14:paraId="03C1D856">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741" w:type="dxa"/>
            <w:noWrap w:val="0"/>
            <w:vAlign w:val="center"/>
          </w:tcPr>
          <w:p w14:paraId="5FE21C60">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213" w:type="dxa"/>
            <w:noWrap w:val="0"/>
            <w:vAlign w:val="center"/>
          </w:tcPr>
          <w:p w14:paraId="3F54048D">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306" w:type="dxa"/>
            <w:noWrap w:val="0"/>
            <w:vAlign w:val="center"/>
          </w:tcPr>
          <w:p w14:paraId="10EE6497">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734" w:type="dxa"/>
            <w:noWrap w:val="0"/>
            <w:vAlign w:val="center"/>
          </w:tcPr>
          <w:p w14:paraId="52337CB2">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r>
      <w:tr w14:paraId="4EBC1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15" w:type="dxa"/>
            <w:noWrap w:val="0"/>
            <w:vAlign w:val="center"/>
          </w:tcPr>
          <w:p w14:paraId="2F5323B4">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1213" w:type="dxa"/>
            <w:noWrap w:val="0"/>
            <w:vAlign w:val="center"/>
          </w:tcPr>
          <w:p w14:paraId="49B82694">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898" w:type="dxa"/>
            <w:noWrap w:val="0"/>
            <w:vAlign w:val="center"/>
          </w:tcPr>
          <w:p w14:paraId="65DF1325">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233" w:type="dxa"/>
            <w:noWrap w:val="0"/>
            <w:vAlign w:val="center"/>
          </w:tcPr>
          <w:p w14:paraId="59911987">
            <w:pPr>
              <w:pageBreakBefore w:val="0"/>
              <w:kinsoku/>
              <w:wordWrap/>
              <w:overflowPunct/>
              <w:topLinePunct w:val="0"/>
              <w:autoSpaceDE/>
              <w:autoSpaceDN/>
              <w:bidi w:val="0"/>
              <w:adjustRightInd/>
              <w:spacing w:line="600" w:lineRule="exact"/>
              <w:ind w:left="0" w:leftChars="0"/>
              <w:jc w:val="both"/>
              <w:rPr>
                <w:rFonts w:hint="eastAsia" w:ascii="宋体" w:hAnsi="宋体" w:eastAsia="宋体" w:cs="宋体"/>
                <w:color w:val="auto"/>
                <w:kern w:val="0"/>
                <w:sz w:val="24"/>
                <w:szCs w:val="24"/>
              </w:rPr>
            </w:pPr>
          </w:p>
        </w:tc>
        <w:tc>
          <w:tcPr>
            <w:tcW w:w="741" w:type="dxa"/>
            <w:noWrap w:val="0"/>
            <w:vAlign w:val="center"/>
          </w:tcPr>
          <w:p w14:paraId="28B280C3">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741" w:type="dxa"/>
            <w:noWrap w:val="0"/>
            <w:vAlign w:val="center"/>
          </w:tcPr>
          <w:p w14:paraId="29994A3F">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213" w:type="dxa"/>
            <w:noWrap w:val="0"/>
            <w:vAlign w:val="center"/>
          </w:tcPr>
          <w:p w14:paraId="6E10D791">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306" w:type="dxa"/>
            <w:noWrap w:val="0"/>
            <w:vAlign w:val="center"/>
          </w:tcPr>
          <w:p w14:paraId="414BDBDF">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734" w:type="dxa"/>
            <w:noWrap w:val="0"/>
            <w:vAlign w:val="center"/>
          </w:tcPr>
          <w:p w14:paraId="60417DC8">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r>
      <w:tr w14:paraId="32A1E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15" w:type="dxa"/>
            <w:noWrap w:val="0"/>
            <w:vAlign w:val="center"/>
          </w:tcPr>
          <w:p w14:paraId="68A83085">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1213" w:type="dxa"/>
            <w:noWrap w:val="0"/>
            <w:vAlign w:val="center"/>
          </w:tcPr>
          <w:p w14:paraId="6EC436DD">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898" w:type="dxa"/>
            <w:noWrap w:val="0"/>
            <w:vAlign w:val="center"/>
          </w:tcPr>
          <w:p w14:paraId="72125DC4">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233" w:type="dxa"/>
            <w:noWrap w:val="0"/>
            <w:vAlign w:val="center"/>
          </w:tcPr>
          <w:p w14:paraId="478AA0F7">
            <w:pPr>
              <w:pageBreakBefore w:val="0"/>
              <w:kinsoku/>
              <w:wordWrap/>
              <w:overflowPunct/>
              <w:topLinePunct w:val="0"/>
              <w:autoSpaceDE/>
              <w:autoSpaceDN/>
              <w:bidi w:val="0"/>
              <w:adjustRightInd/>
              <w:spacing w:line="600" w:lineRule="exact"/>
              <w:ind w:left="0" w:leftChars="0"/>
              <w:jc w:val="both"/>
              <w:rPr>
                <w:rFonts w:hint="eastAsia" w:ascii="宋体" w:hAnsi="宋体" w:eastAsia="宋体" w:cs="宋体"/>
                <w:color w:val="auto"/>
                <w:kern w:val="0"/>
                <w:sz w:val="24"/>
                <w:szCs w:val="24"/>
              </w:rPr>
            </w:pPr>
          </w:p>
        </w:tc>
        <w:tc>
          <w:tcPr>
            <w:tcW w:w="741" w:type="dxa"/>
            <w:noWrap w:val="0"/>
            <w:vAlign w:val="center"/>
          </w:tcPr>
          <w:p w14:paraId="368DE3FB">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741" w:type="dxa"/>
            <w:noWrap w:val="0"/>
            <w:vAlign w:val="center"/>
          </w:tcPr>
          <w:p w14:paraId="150F98FE">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213" w:type="dxa"/>
            <w:noWrap w:val="0"/>
            <w:vAlign w:val="center"/>
          </w:tcPr>
          <w:p w14:paraId="25C53573">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306" w:type="dxa"/>
            <w:noWrap w:val="0"/>
            <w:vAlign w:val="center"/>
          </w:tcPr>
          <w:p w14:paraId="6704E1BD">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734" w:type="dxa"/>
            <w:noWrap w:val="0"/>
            <w:vAlign w:val="center"/>
          </w:tcPr>
          <w:p w14:paraId="4BA61A69">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r>
      <w:tr w14:paraId="2FCE7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15" w:type="dxa"/>
            <w:noWrap w:val="0"/>
            <w:vAlign w:val="center"/>
          </w:tcPr>
          <w:p w14:paraId="478B2A00">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w:t>
            </w:r>
          </w:p>
        </w:tc>
        <w:tc>
          <w:tcPr>
            <w:tcW w:w="1213" w:type="dxa"/>
            <w:noWrap w:val="0"/>
            <w:vAlign w:val="center"/>
          </w:tcPr>
          <w:p w14:paraId="23C23898">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898" w:type="dxa"/>
            <w:noWrap w:val="0"/>
            <w:vAlign w:val="center"/>
          </w:tcPr>
          <w:p w14:paraId="1101D1A0">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233" w:type="dxa"/>
            <w:noWrap w:val="0"/>
            <w:vAlign w:val="center"/>
          </w:tcPr>
          <w:p w14:paraId="65E59A74">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741" w:type="dxa"/>
            <w:noWrap w:val="0"/>
            <w:vAlign w:val="center"/>
          </w:tcPr>
          <w:p w14:paraId="4B790726">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741" w:type="dxa"/>
            <w:noWrap w:val="0"/>
            <w:vAlign w:val="center"/>
          </w:tcPr>
          <w:p w14:paraId="6EF3636A">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213" w:type="dxa"/>
            <w:noWrap w:val="0"/>
            <w:vAlign w:val="center"/>
          </w:tcPr>
          <w:p w14:paraId="452C78D6">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1306" w:type="dxa"/>
            <w:noWrap w:val="0"/>
            <w:vAlign w:val="center"/>
          </w:tcPr>
          <w:p w14:paraId="122F4F09">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c>
          <w:tcPr>
            <w:tcW w:w="734" w:type="dxa"/>
            <w:noWrap w:val="0"/>
            <w:vAlign w:val="center"/>
          </w:tcPr>
          <w:p w14:paraId="05A05BE5">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rPr>
            </w:pPr>
          </w:p>
        </w:tc>
      </w:tr>
      <w:tr w14:paraId="2F6F0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715" w:type="dxa"/>
            <w:noWrap w:val="0"/>
            <w:vAlign w:val="center"/>
          </w:tcPr>
          <w:p w14:paraId="200974DA">
            <w:pPr>
              <w:pageBreakBefore w:val="0"/>
              <w:kinsoku/>
              <w:wordWrap/>
              <w:overflowPunct/>
              <w:topLinePunct w:val="0"/>
              <w:autoSpaceDE/>
              <w:autoSpaceDN/>
              <w:bidi w:val="0"/>
              <w:adjustRightInd/>
              <w:spacing w:line="600" w:lineRule="exact"/>
              <w:ind w:left="0" w:leftChars="0"/>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总计</w:t>
            </w:r>
          </w:p>
        </w:tc>
        <w:tc>
          <w:tcPr>
            <w:tcW w:w="8079" w:type="dxa"/>
            <w:gridSpan w:val="8"/>
            <w:noWrap w:val="0"/>
            <w:vAlign w:val="center"/>
          </w:tcPr>
          <w:p w14:paraId="3F3ADFF1">
            <w:pPr>
              <w:pageBreakBefore w:val="0"/>
              <w:kinsoku/>
              <w:wordWrap/>
              <w:overflowPunct/>
              <w:topLinePunct w:val="0"/>
              <w:autoSpaceDE/>
              <w:autoSpaceDN/>
              <w:bidi w:val="0"/>
              <w:adjustRightInd/>
              <w:spacing w:line="600" w:lineRule="exact"/>
              <w:ind w:left="0" w:leftChars="0"/>
              <w:jc w:val="both"/>
              <w:rPr>
                <w:rFonts w:hint="eastAsia" w:ascii="宋体" w:hAnsi="宋体" w:eastAsia="宋体" w:cs="宋体"/>
                <w:color w:val="auto"/>
                <w:kern w:val="0"/>
                <w:sz w:val="24"/>
                <w:szCs w:val="24"/>
                <w:u w:val="single"/>
                <w:lang w:val="en-US" w:eastAsia="zh-CN"/>
              </w:rPr>
            </w:pPr>
            <w:r>
              <w:rPr>
                <w:rFonts w:hint="eastAsia" w:ascii="宋体" w:hAnsi="宋体" w:eastAsia="宋体" w:cs="宋体"/>
                <w:color w:val="auto"/>
                <w:kern w:val="0"/>
                <w:sz w:val="24"/>
                <w:szCs w:val="24"/>
                <w:lang w:val="en-US" w:eastAsia="zh-CN"/>
              </w:rPr>
              <w:t>大写：</w:t>
            </w:r>
            <w:r>
              <w:rPr>
                <w:rFonts w:hint="eastAsia" w:ascii="宋体" w:hAnsi="宋体" w:eastAsia="宋体" w:cs="宋体"/>
                <w:color w:val="auto"/>
                <w:kern w:val="0"/>
                <w:sz w:val="24"/>
                <w:szCs w:val="24"/>
              </w:rPr>
              <w:t>人民币</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val="en-US" w:eastAsia="zh-CN"/>
              </w:rPr>
              <w:t>（</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val="en-US" w:eastAsia="zh-CN"/>
              </w:rPr>
              <w:t>元）</w:t>
            </w:r>
          </w:p>
        </w:tc>
      </w:tr>
    </w:tbl>
    <w:p w14:paraId="2FE85F3B">
      <w:pPr>
        <w:keepNext w:val="0"/>
        <w:keepLines w:val="0"/>
        <w:pageBreakBefore w:val="0"/>
        <w:widowControl w:val="0"/>
        <w:kinsoku/>
        <w:wordWrap/>
        <w:overflowPunct/>
        <w:topLinePunct w:val="0"/>
        <w:autoSpaceDE/>
        <w:autoSpaceDN/>
        <w:bidi w:val="0"/>
        <w:adjustRightInd/>
        <w:snapToGrid/>
        <w:spacing w:line="600" w:lineRule="exact"/>
        <w:ind w:left="0" w:leftChars="0" w:firstLine="482" w:firstLineChars="200"/>
        <w:jc w:val="both"/>
        <w:textAlignment w:val="auto"/>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第二条 合同价款</w:t>
      </w:r>
    </w:p>
    <w:p w14:paraId="0DBACDD6">
      <w:pPr>
        <w:keepNext w:val="0"/>
        <w:keepLines w:val="0"/>
        <w:pageBreakBefore w:val="0"/>
        <w:widowControl w:val="0"/>
        <w:kinsoku/>
        <w:wordWrap/>
        <w:overflowPunct/>
        <w:topLinePunct w:val="0"/>
        <w:autoSpaceDE/>
        <w:autoSpaceDN/>
        <w:bidi w:val="0"/>
        <w:adjustRightInd/>
        <w:snapToGrid/>
        <w:spacing w:before="0" w:after="0" w:line="600" w:lineRule="exact"/>
        <w:ind w:firstLine="480" w:firstLineChars="200"/>
        <w:jc w:val="both"/>
        <w:textAlignment w:val="auto"/>
        <w:outlineLvl w:val="9"/>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rPr>
        <w:t>1.合同总价：人民币（大写）</w:t>
      </w:r>
      <w:r>
        <w:rPr>
          <w:rFonts w:hint="eastAsia" w:ascii="宋体" w:hAnsi="宋体" w:eastAsia="宋体" w:cs="宋体"/>
          <w:b w:val="0"/>
          <w:color w:val="auto"/>
          <w:kern w:val="2"/>
          <w:sz w:val="24"/>
          <w:szCs w:val="24"/>
          <w:u w:val="single"/>
        </w:rPr>
        <w:t xml:space="preserve">   </w:t>
      </w:r>
      <w:r>
        <w:rPr>
          <w:rFonts w:hint="eastAsia" w:ascii="宋体" w:hAnsi="宋体" w:eastAsia="宋体" w:cs="宋体"/>
          <w:b w:val="0"/>
          <w:color w:val="auto"/>
          <w:kern w:val="2"/>
          <w:sz w:val="24"/>
          <w:szCs w:val="24"/>
          <w:u w:val="single"/>
          <w:lang w:val="en-US" w:eastAsia="zh-CN"/>
        </w:rPr>
        <w:t xml:space="preserve">             </w:t>
      </w:r>
      <w:r>
        <w:rPr>
          <w:rFonts w:hint="eastAsia" w:ascii="宋体" w:hAnsi="宋体" w:eastAsia="宋体" w:cs="宋体"/>
          <w:b w:val="0"/>
          <w:color w:val="auto"/>
          <w:kern w:val="2"/>
          <w:sz w:val="24"/>
          <w:szCs w:val="24"/>
        </w:rPr>
        <w:t>，（</w:t>
      </w:r>
      <w:r>
        <w:rPr>
          <w:rFonts w:hint="eastAsia" w:ascii="宋体" w:hAnsi="宋体" w:eastAsia="宋体" w:cs="宋体"/>
          <w:b w:val="0"/>
          <w:color w:val="auto"/>
          <w:kern w:val="2"/>
          <w:sz w:val="24"/>
          <w:szCs w:val="24"/>
          <w:lang w:val="en-US" w:eastAsia="zh-CN"/>
        </w:rPr>
        <w:t>¥</w:t>
      </w:r>
      <w:r>
        <w:rPr>
          <w:rFonts w:hint="eastAsia" w:ascii="宋体" w:hAnsi="宋体" w:eastAsia="宋体" w:cs="宋体"/>
          <w:b w:val="0"/>
          <w:color w:val="auto"/>
          <w:kern w:val="2"/>
          <w:sz w:val="24"/>
          <w:szCs w:val="24"/>
          <w:u w:val="single"/>
        </w:rPr>
        <w:t xml:space="preserve">  </w:t>
      </w:r>
      <w:r>
        <w:rPr>
          <w:rFonts w:hint="eastAsia" w:ascii="宋体" w:hAnsi="宋体" w:eastAsia="宋体" w:cs="宋体"/>
          <w:b w:val="0"/>
          <w:color w:val="auto"/>
          <w:kern w:val="2"/>
          <w:sz w:val="24"/>
          <w:szCs w:val="24"/>
          <w:u w:val="single"/>
          <w:lang w:val="en-US" w:eastAsia="zh-CN"/>
        </w:rPr>
        <w:t xml:space="preserve">   </w:t>
      </w:r>
      <w:r>
        <w:rPr>
          <w:rFonts w:hint="eastAsia" w:ascii="宋体" w:hAnsi="宋体" w:eastAsia="宋体" w:cs="宋体"/>
          <w:b w:val="0"/>
          <w:color w:val="auto"/>
          <w:kern w:val="2"/>
          <w:sz w:val="24"/>
          <w:szCs w:val="24"/>
          <w:u w:val="single"/>
        </w:rPr>
        <w:t xml:space="preserve"> </w:t>
      </w:r>
      <w:r>
        <w:rPr>
          <w:rFonts w:hint="eastAsia" w:ascii="宋体" w:hAnsi="宋体" w:eastAsia="宋体" w:cs="宋体"/>
          <w:b w:val="0"/>
          <w:color w:val="auto"/>
          <w:kern w:val="2"/>
          <w:sz w:val="24"/>
          <w:szCs w:val="24"/>
          <w:u w:val="single"/>
          <w:lang w:val="en-US" w:eastAsia="zh-CN"/>
        </w:rPr>
        <w:t xml:space="preserve">    </w:t>
      </w:r>
      <w:r>
        <w:rPr>
          <w:rFonts w:hint="eastAsia" w:ascii="宋体" w:hAnsi="宋体" w:eastAsia="宋体" w:cs="宋体"/>
          <w:b w:val="0"/>
          <w:color w:val="auto"/>
          <w:kern w:val="2"/>
          <w:sz w:val="24"/>
          <w:szCs w:val="24"/>
          <w:u w:val="none"/>
          <w:lang w:eastAsia="zh-CN"/>
        </w:rPr>
        <w:t>元</w:t>
      </w:r>
      <w:r>
        <w:rPr>
          <w:rFonts w:hint="eastAsia" w:ascii="宋体" w:hAnsi="宋体" w:eastAsia="宋体" w:cs="宋体"/>
          <w:b w:val="0"/>
          <w:color w:val="auto"/>
          <w:kern w:val="2"/>
          <w:sz w:val="24"/>
          <w:szCs w:val="24"/>
        </w:rPr>
        <w:t>）。</w:t>
      </w:r>
    </w:p>
    <w:p w14:paraId="20EAB21F">
      <w:pPr>
        <w:keepNext w:val="0"/>
        <w:keepLines w:val="0"/>
        <w:pageBreakBefore w:val="0"/>
        <w:widowControl w:val="0"/>
        <w:kinsoku/>
        <w:wordWrap/>
        <w:overflowPunct/>
        <w:topLinePunct w:val="0"/>
        <w:autoSpaceDE/>
        <w:autoSpaceDN/>
        <w:bidi w:val="0"/>
        <w:adjustRightInd/>
        <w:snapToGrid/>
        <w:spacing w:before="0" w:after="0" w:line="600" w:lineRule="exact"/>
        <w:ind w:firstLine="480" w:firstLineChars="200"/>
        <w:jc w:val="both"/>
        <w:textAlignment w:val="auto"/>
        <w:outlineLvl w:val="9"/>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rPr>
        <w:t>2.本合同总价是货物（产品）制造、包装、运输、验收合格交付使用之前及保修期内保修服务与备用物件等其他有关各项的含税费用。</w:t>
      </w:r>
    </w:p>
    <w:p w14:paraId="120DCCEB">
      <w:pPr>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480" w:firstLineChars="200"/>
        <w:jc w:val="both"/>
        <w:textAlignment w:val="auto"/>
        <w:outlineLvl w:val="9"/>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rPr>
        <w:t>3.</w:t>
      </w:r>
      <w:r>
        <w:rPr>
          <w:rFonts w:hint="eastAsia" w:ascii="宋体" w:hAnsi="宋体" w:eastAsia="宋体" w:cs="宋体"/>
          <w:b w:val="0"/>
          <w:color w:val="auto"/>
          <w:kern w:val="2"/>
          <w:sz w:val="24"/>
          <w:szCs w:val="24"/>
          <w:lang w:val="en-US" w:eastAsia="zh-CN"/>
        </w:rPr>
        <w:t>本合同总价包含技术参数中的所有采购内容和乙方应当提供的伴随服务和售后服务费用。合同总价一次包死，不受市场价变化的影响</w:t>
      </w:r>
      <w:r>
        <w:rPr>
          <w:rFonts w:hint="eastAsia" w:ascii="宋体" w:hAnsi="宋体" w:cs="宋体"/>
          <w:b w:val="0"/>
          <w:color w:val="auto"/>
          <w:kern w:val="2"/>
          <w:sz w:val="24"/>
          <w:szCs w:val="24"/>
          <w:lang w:val="en-US" w:eastAsia="zh-CN"/>
        </w:rPr>
        <w:t>。</w:t>
      </w:r>
    </w:p>
    <w:p w14:paraId="6A4C4B01">
      <w:pPr>
        <w:keepNext w:val="0"/>
        <w:keepLines w:val="0"/>
        <w:pageBreakBefore w:val="0"/>
        <w:widowControl w:val="0"/>
        <w:kinsoku/>
        <w:wordWrap/>
        <w:overflowPunct/>
        <w:topLinePunct w:val="0"/>
        <w:autoSpaceDE/>
        <w:autoSpaceDN/>
        <w:bidi w:val="0"/>
        <w:adjustRightInd/>
        <w:snapToGrid/>
        <w:spacing w:before="0" w:after="0" w:line="600" w:lineRule="exact"/>
        <w:ind w:left="0" w:leftChars="0" w:firstLine="480" w:firstLineChars="200"/>
        <w:jc w:val="both"/>
        <w:textAlignment w:val="auto"/>
        <w:outlineLvl w:val="9"/>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rPr>
        <w:t>4.本合同执行期间合同总价不变，甲方无须另向乙方支付本合同规定之外的其他任何费用。</w:t>
      </w:r>
    </w:p>
    <w:p w14:paraId="70F195FA">
      <w:pPr>
        <w:keepNext w:val="0"/>
        <w:keepLines w:val="0"/>
        <w:pageBreakBefore w:val="0"/>
        <w:widowControl w:val="0"/>
        <w:kinsoku/>
        <w:wordWrap/>
        <w:overflowPunct/>
        <w:topLinePunct w:val="0"/>
        <w:autoSpaceDE/>
        <w:autoSpaceDN/>
        <w:bidi w:val="0"/>
        <w:adjustRightInd/>
        <w:snapToGrid/>
        <w:spacing w:line="600" w:lineRule="exact"/>
        <w:ind w:left="0" w:leftChars="0" w:firstLine="482" w:firstLineChars="200"/>
        <w:jc w:val="both"/>
        <w:textAlignment w:val="auto"/>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第三条 货款支付</w:t>
      </w:r>
    </w:p>
    <w:p w14:paraId="186C6544">
      <w:pPr>
        <w:keepNext w:val="0"/>
        <w:keepLines w:val="0"/>
        <w:pageBreakBefore w:val="0"/>
        <w:widowControl w:val="0"/>
        <w:kinsoku/>
        <w:wordWrap/>
        <w:overflowPunct/>
        <w:topLinePunct w:val="0"/>
        <w:autoSpaceDE/>
        <w:autoSpaceDN/>
        <w:bidi w:val="0"/>
        <w:adjustRightInd/>
        <w:snapToGrid/>
        <w:spacing w:before="0" w:after="0" w:line="600" w:lineRule="exact"/>
        <w:ind w:firstLine="480" w:firstLineChars="200"/>
        <w:jc w:val="both"/>
        <w:textAlignment w:val="auto"/>
        <w:outlineLvl w:val="9"/>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rPr>
        <w:t>1.所有货物到达甲方指定地点，项目内容完成，并经专家组验收通过后，三十</w:t>
      </w:r>
      <w:r>
        <w:rPr>
          <w:rFonts w:hint="eastAsia" w:ascii="宋体" w:hAnsi="宋体" w:eastAsia="宋体" w:cs="宋体"/>
          <w:b w:val="0"/>
          <w:color w:val="auto"/>
          <w:kern w:val="2"/>
          <w:sz w:val="24"/>
          <w:szCs w:val="24"/>
          <w:lang w:val="en-US" w:eastAsia="zh-CN"/>
        </w:rPr>
        <w:t>日</w:t>
      </w:r>
      <w:r>
        <w:rPr>
          <w:rFonts w:hint="eastAsia" w:ascii="宋体" w:hAnsi="宋体" w:eastAsia="宋体" w:cs="宋体"/>
          <w:b w:val="0"/>
          <w:color w:val="auto"/>
          <w:kern w:val="2"/>
          <w:sz w:val="24"/>
          <w:szCs w:val="24"/>
        </w:rPr>
        <w:t>内甲方凭乙方开具的合同总价款全额发票向乙方支付全部合同总价款。</w:t>
      </w:r>
    </w:p>
    <w:p w14:paraId="106985CC">
      <w:pPr>
        <w:keepNext w:val="0"/>
        <w:keepLines w:val="0"/>
        <w:pageBreakBefore w:val="0"/>
        <w:widowControl w:val="0"/>
        <w:kinsoku/>
        <w:wordWrap/>
        <w:overflowPunct/>
        <w:topLinePunct w:val="0"/>
        <w:autoSpaceDE/>
        <w:autoSpaceDN/>
        <w:bidi w:val="0"/>
        <w:adjustRightInd/>
        <w:snapToGrid/>
        <w:spacing w:before="0" w:after="0" w:line="600" w:lineRule="exact"/>
        <w:ind w:firstLine="480" w:firstLineChars="200"/>
        <w:jc w:val="both"/>
        <w:textAlignment w:val="auto"/>
        <w:outlineLvl w:val="9"/>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rPr>
        <w:t>2.乙方须向甲方出具合法有效的完税发票，甲方进行支付结算。</w:t>
      </w:r>
    </w:p>
    <w:p w14:paraId="4AFD1346">
      <w:pPr>
        <w:keepNext w:val="0"/>
        <w:keepLines w:val="0"/>
        <w:pageBreakBefore w:val="0"/>
        <w:widowControl w:val="0"/>
        <w:kinsoku/>
        <w:wordWrap/>
        <w:overflowPunct/>
        <w:topLinePunct w:val="0"/>
        <w:autoSpaceDE/>
        <w:autoSpaceDN/>
        <w:bidi w:val="0"/>
        <w:adjustRightInd/>
        <w:snapToGrid/>
        <w:spacing w:before="0" w:after="0" w:line="600" w:lineRule="exact"/>
        <w:ind w:firstLine="480" w:firstLineChars="200"/>
        <w:jc w:val="both"/>
        <w:textAlignment w:val="auto"/>
        <w:outlineLvl w:val="9"/>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rPr>
        <w:t>3.</w:t>
      </w:r>
      <w:r>
        <w:rPr>
          <w:rFonts w:hint="eastAsia" w:ascii="宋体" w:hAnsi="宋体" w:eastAsia="宋体" w:cs="宋体"/>
          <w:b w:val="0"/>
          <w:color w:val="auto"/>
          <w:kern w:val="2"/>
          <w:sz w:val="24"/>
          <w:szCs w:val="24"/>
          <w:lang w:val="en-US" w:eastAsia="zh-CN"/>
        </w:rPr>
        <w:t>支付</w:t>
      </w:r>
      <w:r>
        <w:rPr>
          <w:rFonts w:hint="eastAsia" w:ascii="宋体" w:hAnsi="宋体" w:eastAsia="宋体" w:cs="宋体"/>
          <w:b w:val="0"/>
          <w:color w:val="auto"/>
          <w:kern w:val="2"/>
          <w:sz w:val="24"/>
          <w:szCs w:val="24"/>
        </w:rPr>
        <w:t>方式：银行转账。</w:t>
      </w:r>
    </w:p>
    <w:p w14:paraId="44A59828">
      <w:pPr>
        <w:keepNext w:val="0"/>
        <w:keepLines w:val="0"/>
        <w:pageBreakBefore w:val="0"/>
        <w:widowControl w:val="0"/>
        <w:kinsoku/>
        <w:wordWrap/>
        <w:overflowPunct/>
        <w:topLinePunct w:val="0"/>
        <w:autoSpaceDE/>
        <w:autoSpaceDN/>
        <w:bidi w:val="0"/>
        <w:adjustRightInd/>
        <w:snapToGrid/>
        <w:spacing w:line="600" w:lineRule="exact"/>
        <w:ind w:left="0" w:leftChars="0" w:firstLine="482" w:firstLineChars="200"/>
        <w:jc w:val="both"/>
        <w:textAlignment w:val="auto"/>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第四条 交货时间与地点</w:t>
      </w:r>
    </w:p>
    <w:p w14:paraId="27AC7E38">
      <w:pPr>
        <w:pageBreakBefore w:val="0"/>
        <w:widowControl w:val="0"/>
        <w:kinsoku/>
        <w:wordWrap/>
        <w:overflowPunct/>
        <w:topLinePunct w:val="0"/>
        <w:autoSpaceDE/>
        <w:autoSpaceDN/>
        <w:bidi w:val="0"/>
        <w:adjustRightInd/>
        <w:spacing w:line="600" w:lineRule="exact"/>
        <w:ind w:left="0" w:leftChars="0" w:firstLine="561" w:firstLineChars="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乙方在合同签订生效之日起，按甲方指定时间、地点交货。</w:t>
      </w:r>
    </w:p>
    <w:p w14:paraId="33BD486B">
      <w:pPr>
        <w:pageBreakBefore w:val="0"/>
        <w:widowControl w:val="0"/>
        <w:kinsoku/>
        <w:wordWrap/>
        <w:overflowPunct/>
        <w:topLinePunct w:val="0"/>
        <w:autoSpaceDE/>
        <w:autoSpaceDN/>
        <w:bidi w:val="0"/>
        <w:adjustRightInd/>
        <w:spacing w:line="600" w:lineRule="exact"/>
        <w:ind w:left="0" w:leftChars="0" w:firstLine="561" w:firstLineChars="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1.交货时间（期限）：自合同签订之日起</w:t>
      </w:r>
      <w:r>
        <w:rPr>
          <w:rFonts w:hint="eastAsia" w:ascii="宋体" w:hAnsi="宋体" w:eastAsia="宋体" w:cs="宋体"/>
          <w:color w:val="auto"/>
          <w:kern w:val="2"/>
          <w:sz w:val="24"/>
          <w:szCs w:val="24"/>
          <w:highlight w:val="none"/>
          <w:u w:val="single"/>
          <w:lang w:val="en-US" w:eastAsia="zh-CN" w:bidi="ar-SA"/>
        </w:rPr>
        <w:t>10</w:t>
      </w:r>
      <w:r>
        <w:rPr>
          <w:rFonts w:hint="eastAsia" w:ascii="宋体" w:hAnsi="宋体" w:eastAsia="宋体" w:cs="宋体"/>
          <w:color w:val="auto"/>
          <w:kern w:val="2"/>
          <w:sz w:val="24"/>
          <w:szCs w:val="24"/>
          <w:highlight w:val="none"/>
          <w:lang w:val="en-US" w:eastAsia="zh-CN" w:bidi="ar-SA"/>
        </w:rPr>
        <w:t>天，计划交货日期</w:t>
      </w:r>
      <w:r>
        <w:rPr>
          <w:rFonts w:hint="eastAsia" w:ascii="宋体" w:hAnsi="宋体" w:eastAsia="宋体" w:cs="宋体"/>
          <w:color w:val="auto"/>
          <w:kern w:val="2"/>
          <w:sz w:val="24"/>
          <w:szCs w:val="24"/>
          <w:u w:val="single"/>
          <w:lang w:val="zh-CN" w:eastAsia="zh-CN" w:bidi="ar-SA"/>
        </w:rPr>
        <w:t xml:space="preserve"> </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u w:val="single"/>
          <w:lang w:val="zh-CN" w:eastAsia="zh-CN" w:bidi="ar-SA"/>
        </w:rPr>
        <w:t xml:space="preserve"> </w:t>
      </w:r>
      <w:r>
        <w:rPr>
          <w:rFonts w:hint="eastAsia" w:ascii="宋体" w:hAnsi="宋体" w:eastAsia="宋体" w:cs="宋体"/>
          <w:color w:val="auto"/>
          <w:kern w:val="2"/>
          <w:sz w:val="24"/>
          <w:szCs w:val="24"/>
          <w:lang w:val="zh-CN" w:eastAsia="zh-CN" w:bidi="ar-SA"/>
        </w:rPr>
        <w:t>年</w:t>
      </w:r>
      <w:r>
        <w:rPr>
          <w:rFonts w:hint="eastAsia" w:ascii="宋体" w:hAnsi="宋体" w:eastAsia="宋体" w:cs="宋体"/>
          <w:color w:val="auto"/>
          <w:kern w:val="2"/>
          <w:sz w:val="24"/>
          <w:szCs w:val="24"/>
          <w:u w:val="single"/>
          <w:lang w:val="zh-CN" w:eastAsia="zh-CN" w:bidi="ar-SA"/>
        </w:rPr>
        <w:t xml:space="preserve"> </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u w:val="single"/>
          <w:lang w:val="zh-CN" w:eastAsia="zh-CN" w:bidi="ar-SA"/>
        </w:rPr>
        <w:t xml:space="preserve"> </w:t>
      </w:r>
      <w:r>
        <w:rPr>
          <w:rFonts w:hint="eastAsia" w:ascii="宋体" w:hAnsi="宋体" w:eastAsia="宋体" w:cs="宋体"/>
          <w:color w:val="auto"/>
          <w:kern w:val="2"/>
          <w:sz w:val="24"/>
          <w:szCs w:val="24"/>
          <w:lang w:val="zh-CN" w:eastAsia="zh-CN" w:bidi="ar-SA"/>
        </w:rPr>
        <w:t>月</w:t>
      </w:r>
      <w:r>
        <w:rPr>
          <w:rFonts w:hint="eastAsia" w:ascii="宋体" w:hAnsi="宋体" w:eastAsia="宋体" w:cs="宋体"/>
          <w:color w:val="auto"/>
          <w:kern w:val="2"/>
          <w:sz w:val="24"/>
          <w:szCs w:val="24"/>
          <w:u w:val="single"/>
          <w:lang w:val="zh-CN" w:eastAsia="zh-CN" w:bidi="ar-SA"/>
        </w:rPr>
        <w:t xml:space="preserve">  </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zh-CN" w:eastAsia="zh-CN" w:bidi="ar-SA"/>
        </w:rPr>
        <w:t>日。</w:t>
      </w:r>
    </w:p>
    <w:p w14:paraId="1B09EDA9">
      <w:pPr>
        <w:pageBreakBefore w:val="0"/>
        <w:widowControl w:val="0"/>
        <w:kinsoku/>
        <w:wordWrap/>
        <w:overflowPunct/>
        <w:topLinePunct w:val="0"/>
        <w:autoSpaceDE/>
        <w:autoSpaceDN/>
        <w:bidi w:val="0"/>
        <w:adjustRightInd/>
        <w:spacing w:line="600" w:lineRule="exact"/>
        <w:ind w:left="0" w:leftChars="0" w:firstLine="561" w:firstLineChars="0"/>
        <w:jc w:val="both"/>
        <w:rPr>
          <w:rFonts w:hint="default" w:ascii="宋体" w:hAnsi="宋体" w:eastAsia="宋体" w:cs="宋体"/>
          <w:color w:val="auto"/>
          <w:kern w:val="2"/>
          <w:sz w:val="24"/>
          <w:szCs w:val="24"/>
          <w:u w:val="single"/>
          <w:lang w:val="en-US" w:eastAsia="zh-CN" w:bidi="ar-SA"/>
        </w:rPr>
      </w:pPr>
      <w:r>
        <w:rPr>
          <w:rFonts w:hint="eastAsia" w:ascii="宋体" w:hAnsi="宋体" w:eastAsia="宋体" w:cs="宋体"/>
          <w:color w:val="auto"/>
          <w:kern w:val="2"/>
          <w:sz w:val="24"/>
          <w:szCs w:val="24"/>
          <w:lang w:val="en-US" w:eastAsia="zh-CN" w:bidi="ar-SA"/>
        </w:rPr>
        <w:t>2.交货地点：</w:t>
      </w:r>
      <w:r>
        <w:rPr>
          <w:rFonts w:hint="eastAsia" w:ascii="宋体" w:hAnsi="宋体" w:eastAsia="宋体" w:cs="宋体"/>
          <w:color w:val="auto"/>
          <w:kern w:val="2"/>
          <w:sz w:val="24"/>
          <w:szCs w:val="24"/>
          <w:u w:val="single"/>
          <w:lang w:val="en-US" w:eastAsia="zh-CN" w:bidi="ar-SA"/>
        </w:rPr>
        <w:t>甲方指定地点</w:t>
      </w:r>
    </w:p>
    <w:p w14:paraId="0AD3BE73">
      <w:pPr>
        <w:pageBreakBefore w:val="0"/>
        <w:widowControl w:val="0"/>
        <w:kinsoku/>
        <w:wordWrap/>
        <w:overflowPunct/>
        <w:topLinePunct w:val="0"/>
        <w:autoSpaceDE/>
        <w:autoSpaceDN/>
        <w:bidi w:val="0"/>
        <w:adjustRightInd/>
        <w:spacing w:line="600" w:lineRule="exact"/>
        <w:ind w:left="0" w:leftChars="0" w:firstLine="400" w:firstLineChars="166"/>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第五条 质量保证</w:t>
      </w:r>
    </w:p>
    <w:p w14:paraId="797A8239">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1.乙方须提供全新的、未使用过的合格正品货物，完全符合合同规定的质量、规格和性能的要求。</w:t>
      </w:r>
    </w:p>
    <w:p w14:paraId="605B36C1">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2.乙方提供的节能和环保产品必须是列入节能、环保标志产品品目清单中的产品。</w:t>
      </w:r>
    </w:p>
    <w:p w14:paraId="67E04C6D">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3.质量标准按照最新颁布的国家标准、行业标准或制造商企业标准确定，上述标准不一致的，以严格标准为准。</w:t>
      </w:r>
    </w:p>
    <w:p w14:paraId="7B65BFF2">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4.乙方所提供货物还应符合国家和陕西省有关安全、环保、节能之规定。</w:t>
      </w:r>
    </w:p>
    <w:p w14:paraId="3C722784">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5.货物制造质量出现问题，乙方应负责三包（包修、包换、包退），费用由乙方负担，甲方有权到乙方生产场地检查货物质量和生产进度。</w:t>
      </w:r>
    </w:p>
    <w:p w14:paraId="016F6615">
      <w:pPr>
        <w:pageBreakBefore w:val="0"/>
        <w:widowControl w:val="0"/>
        <w:kinsoku/>
        <w:wordWrap/>
        <w:overflowPunct/>
        <w:topLinePunct w:val="0"/>
        <w:autoSpaceDE/>
        <w:autoSpaceDN/>
        <w:bidi w:val="0"/>
        <w:adjustRightInd/>
        <w:spacing w:line="600" w:lineRule="exact"/>
        <w:ind w:left="0" w:leftChars="0" w:firstLine="482" w:firstLineChars="200"/>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第六条 权利保证</w:t>
      </w:r>
    </w:p>
    <w:p w14:paraId="2DF011F5">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1.乙方保证对其出售的货物享有合法的权利。</w:t>
      </w:r>
    </w:p>
    <w:p w14:paraId="15209701">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cs="宋体"/>
          <w:color w:val="auto"/>
          <w:kern w:val="2"/>
          <w:sz w:val="24"/>
          <w:szCs w:val="24"/>
          <w:lang w:val="en-US" w:eastAsia="zh-CN"/>
        </w:rPr>
        <w:t>2</w:t>
      </w:r>
      <w:r>
        <w:rPr>
          <w:rFonts w:hint="eastAsia" w:ascii="宋体" w:hAnsi="宋体" w:eastAsia="宋体" w:cs="宋体"/>
          <w:color w:val="auto"/>
          <w:kern w:val="2"/>
          <w:sz w:val="24"/>
          <w:szCs w:val="24"/>
        </w:rPr>
        <w:t>.乙方保证对其出售的货物或其任何一部分没有侵犯第三方的专利权、版权、商标权或其他权利。</w:t>
      </w:r>
    </w:p>
    <w:p w14:paraId="194F6672">
      <w:pPr>
        <w:keepNext w:val="0"/>
        <w:keepLines w:val="0"/>
        <w:pageBreakBefore w:val="0"/>
        <w:widowControl/>
        <w:suppressLineNumbers w:val="0"/>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4"/>
        </w:rPr>
      </w:pPr>
      <w:r>
        <w:rPr>
          <w:rFonts w:hint="eastAsia" w:ascii="宋体" w:hAnsi="宋体" w:cs="宋体"/>
          <w:color w:val="auto"/>
          <w:kern w:val="2"/>
          <w:sz w:val="24"/>
          <w:szCs w:val="24"/>
          <w:lang w:val="en-US" w:eastAsia="zh-CN"/>
        </w:rPr>
        <w:t>3</w:t>
      </w:r>
      <w:r>
        <w:rPr>
          <w:rFonts w:hint="eastAsia" w:ascii="宋体" w:hAnsi="宋体" w:eastAsia="宋体" w:cs="宋体"/>
          <w:color w:val="auto"/>
          <w:kern w:val="2"/>
          <w:sz w:val="24"/>
          <w:szCs w:val="24"/>
        </w:rPr>
        <w:t>.如甲方在使用该货物构成上述侵权的，则由乙方承担全部责任。</w:t>
      </w:r>
    </w:p>
    <w:p w14:paraId="259B1FD2">
      <w:pPr>
        <w:pageBreakBefore w:val="0"/>
        <w:widowControl w:val="0"/>
        <w:kinsoku/>
        <w:wordWrap/>
        <w:overflowPunct/>
        <w:topLinePunct w:val="0"/>
        <w:autoSpaceDE/>
        <w:autoSpaceDN/>
        <w:bidi w:val="0"/>
        <w:adjustRightInd/>
        <w:spacing w:line="600" w:lineRule="exact"/>
        <w:ind w:left="0" w:leftChars="0" w:firstLine="482" w:firstLineChars="200"/>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第七条 包装要求与运输方式</w:t>
      </w:r>
    </w:p>
    <w:p w14:paraId="6192D678">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1.除合同另有规定外，乙方提供的全部货物均应按标准保护措施进行包装，该包装应适应于远距离运输、防潮、防震、防锈和防野蛮装卸，以确保货物安全运抵指定地点。</w:t>
      </w:r>
    </w:p>
    <w:p w14:paraId="7C70C34D">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w:t>
      </w:r>
      <w:r>
        <w:rPr>
          <w:rFonts w:hint="eastAsia" w:ascii="宋体" w:hAnsi="宋体" w:eastAsia="宋体" w:cs="宋体"/>
          <w:color w:val="auto"/>
          <w:kern w:val="2"/>
          <w:sz w:val="24"/>
          <w:szCs w:val="24"/>
          <w:lang w:val="en-US" w:eastAsia="zh-CN" w:bidi="ar-SA"/>
        </w:rPr>
        <w:t>.乙方负责货物（产品）运输</w:t>
      </w:r>
      <w:r>
        <w:rPr>
          <w:rFonts w:hint="eastAsia" w:ascii="宋体" w:hAnsi="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货物（产品）运输方式：</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w:t>
      </w:r>
    </w:p>
    <w:p w14:paraId="15F1277B">
      <w:pPr>
        <w:pageBreakBefore w:val="0"/>
        <w:widowControl w:val="0"/>
        <w:kinsoku/>
        <w:wordWrap/>
        <w:overflowPunct/>
        <w:topLinePunct w:val="0"/>
        <w:autoSpaceDE/>
        <w:autoSpaceDN/>
        <w:bidi w:val="0"/>
        <w:adjustRightInd/>
        <w:spacing w:line="600" w:lineRule="exact"/>
        <w:ind w:left="0" w:leftChars="0" w:firstLine="482" w:firstLineChars="200"/>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第八条 验收</w:t>
      </w:r>
    </w:p>
    <w:p w14:paraId="34C98617">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由甲方和乙方共同对项目进行整体验收。其内容包括所有产品清单的供货、使用等是否达到验收规范“合格”标准、是否按照甲方要求按时完成。</w:t>
      </w:r>
    </w:p>
    <w:p w14:paraId="08090CB8">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（1）所验各项内容最终验收达不到采购文件要求和响应文件承诺的，或在后续使用中发现甲方不能容忍的缺陷等，将视为验收不合格，乙方应在甲方要求的时间内无条件整改及恢复。</w:t>
      </w:r>
    </w:p>
    <w:p w14:paraId="7461A8AF">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（2）若发现乙方有弄虚作假的，在招标阶段故意或随意夸大技术</w:t>
      </w:r>
      <w:r>
        <w:rPr>
          <w:rFonts w:hint="eastAsia" w:ascii="宋体" w:hAnsi="宋体" w:cs="宋体"/>
          <w:color w:val="auto"/>
          <w:kern w:val="2"/>
          <w:sz w:val="24"/>
          <w:szCs w:val="24"/>
          <w:lang w:val="en-US" w:eastAsia="zh-CN" w:bidi="ar-SA"/>
        </w:rPr>
        <w:t>指标</w:t>
      </w:r>
      <w:r>
        <w:rPr>
          <w:rFonts w:hint="eastAsia" w:ascii="宋体" w:hAnsi="宋体" w:eastAsia="宋体" w:cs="宋体"/>
          <w:color w:val="auto"/>
          <w:kern w:val="2"/>
          <w:sz w:val="24"/>
          <w:szCs w:val="24"/>
          <w:lang w:val="en-US" w:eastAsia="zh-CN" w:bidi="ar-SA"/>
        </w:rPr>
        <w:t xml:space="preserve">、服务质量的，甲方有权解除合同，并且要求乙方赔偿相关损失。 </w:t>
      </w:r>
    </w:p>
    <w:p w14:paraId="03FEABC4">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（3）验收标准：按采购文件、响应文件及合同附件清单等技术指标进行验收。各项指标均应符合验收标准及要求。</w:t>
      </w:r>
    </w:p>
    <w:p w14:paraId="37A3B78F">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2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（4）验收合格后，填写验收单，双方签字生效。</w:t>
      </w:r>
    </w:p>
    <w:p w14:paraId="54713CF9">
      <w:pPr>
        <w:pageBreakBefore w:val="0"/>
        <w:widowControl w:val="0"/>
        <w:kinsoku/>
        <w:wordWrap/>
        <w:overflowPunct/>
        <w:topLinePunct w:val="0"/>
        <w:autoSpaceDE/>
        <w:autoSpaceDN/>
        <w:bidi w:val="0"/>
        <w:adjustRightInd/>
        <w:spacing w:line="600" w:lineRule="exact"/>
        <w:ind w:left="0" w:leftChars="0" w:firstLine="482" w:firstLineChars="200"/>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第九条 售后服务</w:t>
      </w:r>
    </w:p>
    <w:p w14:paraId="222191A1">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乙方应按照国家有关法律法规和“三包”规定以及采购文件要求和响应文件的“售后服务承诺”提供服务。</w:t>
      </w:r>
    </w:p>
    <w:p w14:paraId="02441605">
      <w:pPr>
        <w:pageBreakBefore w:val="0"/>
        <w:widowControl w:val="0"/>
        <w:kinsoku/>
        <w:wordWrap/>
        <w:overflowPunct/>
        <w:topLinePunct w:val="0"/>
        <w:autoSpaceDE/>
        <w:autoSpaceDN/>
        <w:bidi w:val="0"/>
        <w:adjustRightInd/>
        <w:spacing w:line="600" w:lineRule="exact"/>
        <w:ind w:left="0" w:leftChars="0" w:firstLine="482" w:firstLineChars="200"/>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第十条 违约责任</w:t>
      </w:r>
    </w:p>
    <w:p w14:paraId="1647548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contextualSpacing/>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1.甲方违约责任</w:t>
      </w:r>
    </w:p>
    <w:p w14:paraId="77C5A2C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20" w:firstLineChars="0"/>
        <w:contextualSpacing/>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（1）甲方无正当理由拒收货物的，甲方应偿付合同总价</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%的违约金；</w:t>
      </w:r>
    </w:p>
    <w:p w14:paraId="18AD955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20" w:firstLineChars="0"/>
        <w:contextualSpacing/>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（2）甲方逾期支付货款的，除应及时付足货款外，应向乙方每天支付欠款总额</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‰的滞纳金；但累计滞纳金总额不超过欠款总额的</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w:t>
      </w:r>
    </w:p>
    <w:p w14:paraId="0893683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20" w:firstLineChars="0"/>
        <w:contextualSpacing/>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2.乙方违约责任</w:t>
      </w:r>
    </w:p>
    <w:p w14:paraId="69FE80C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contextualSpacing/>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（1）如乙方不能交付货物，甲方有权扣留全部履约保证金；同时乙方应向甲方支付合同总价</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％的违约金。</w:t>
      </w:r>
    </w:p>
    <w:p w14:paraId="22EAE05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contextualSpacing/>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（2）乙方逾期交付货物的，每逾期1天，乙方向甲方偿付逾期交货部分货款总额的</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‰的滞纳金。如乙方逾期交货达</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天，甲方有权解除合同，解除合同的通知自到达乙方时生效。</w:t>
      </w:r>
    </w:p>
    <w:p w14:paraId="69E6C55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contextualSpacing/>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（3）乙方所交付的货物品种、型号、规格不符合合同规定的，甲方有权拒收。甲方拒收的，乙方应向甲方支付货款总额</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%的违约金。</w:t>
      </w:r>
    </w:p>
    <w:p w14:paraId="7FD0838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contextualSpacing/>
        <w:jc w:val="both"/>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天内无条件更换合格的货物，如逾期不能更换合格的货物，甲方有权终止本合同，乙方应另向甲方支付货款总额的</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%的违约金。</w:t>
      </w:r>
    </w:p>
    <w:p w14:paraId="6C14F46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contextualSpacing/>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DA9685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contextualSpacing/>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（6）乙方在承担上述1-</w:t>
      </w:r>
      <w:r>
        <w:rPr>
          <w:rFonts w:hint="eastAsia" w:ascii="宋体" w:hAnsi="宋体" w:cs="宋体"/>
          <w:color w:val="auto"/>
          <w:kern w:val="2"/>
          <w:sz w:val="24"/>
          <w:szCs w:val="24"/>
          <w:lang w:val="en-US" w:eastAsia="zh-CN" w:bidi="ar-SA"/>
        </w:rPr>
        <w:t>5</w:t>
      </w:r>
      <w:r>
        <w:rPr>
          <w:rFonts w:hint="eastAsia" w:ascii="宋体" w:hAnsi="宋体" w:eastAsia="宋体" w:cs="宋体"/>
          <w:color w:val="auto"/>
          <w:kern w:val="2"/>
          <w:sz w:val="24"/>
          <w:szCs w:val="24"/>
          <w:lang w:val="en-US" w:eastAsia="zh-CN" w:bidi="ar-SA"/>
        </w:rPr>
        <w:t>款一项或多项违约责任后，仍应继续履行合同规定的义务（甲方解除合同的除外）。甲方未能及时追究乙方的任何一项违约责任并不表明甲方放弃追究乙方该项或其他违约责任。</w:t>
      </w:r>
    </w:p>
    <w:p w14:paraId="572CBF4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contextualSpacing/>
        <w:jc w:val="both"/>
        <w:textAlignment w:val="auto"/>
        <w:outlineLvl w:val="9"/>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w:t>
      </w:r>
      <w:r>
        <w:rPr>
          <w:rFonts w:hint="eastAsia" w:ascii="宋体" w:hAnsi="宋体" w:cs="宋体"/>
          <w:color w:val="auto"/>
          <w:kern w:val="2"/>
          <w:sz w:val="24"/>
          <w:szCs w:val="24"/>
          <w:lang w:val="en-US" w:eastAsia="zh-CN" w:bidi="ar-SA"/>
        </w:rPr>
        <w:t>7</w:t>
      </w:r>
      <w:r>
        <w:rPr>
          <w:rFonts w:hint="eastAsia" w:ascii="宋体" w:hAnsi="宋体" w:eastAsia="宋体" w:cs="宋体"/>
          <w:color w:val="auto"/>
          <w:kern w:val="2"/>
          <w:sz w:val="24"/>
          <w:szCs w:val="24"/>
          <w:lang w:val="en-US" w:eastAsia="zh-CN" w:bidi="ar-SA"/>
        </w:rPr>
        <w:t>）乙方偿付的违约金不足以弥补甲方损失的，还应按甲方损失尚未弥补的部分，支付赔偿金给甲方。</w:t>
      </w:r>
    </w:p>
    <w:p w14:paraId="2C9A90D0">
      <w:pPr>
        <w:pageBreakBefore w:val="0"/>
        <w:widowControl w:val="0"/>
        <w:kinsoku/>
        <w:wordWrap/>
        <w:overflowPunct/>
        <w:topLinePunct w:val="0"/>
        <w:autoSpaceDE/>
        <w:autoSpaceDN/>
        <w:bidi w:val="0"/>
        <w:adjustRightInd/>
        <w:spacing w:line="600" w:lineRule="exact"/>
        <w:ind w:left="0" w:leftChars="0" w:firstLine="482" w:firstLineChars="200"/>
        <w:jc w:val="both"/>
        <w:rPr>
          <w:rFonts w:hint="eastAsia" w:ascii="宋体" w:hAnsi="宋体" w:eastAsia="宋体" w:cs="宋体"/>
          <w:b/>
          <w:color w:val="auto"/>
          <w:kern w:val="2"/>
          <w:sz w:val="24"/>
          <w:szCs w:val="24"/>
          <w:lang w:val="en-US" w:eastAsia="zh-CN" w:bidi="ar-SA"/>
        </w:rPr>
      </w:pPr>
      <w:bookmarkStart w:id="6" w:name="_GoBack"/>
      <w:bookmarkEnd w:id="6"/>
      <w:r>
        <w:rPr>
          <w:rFonts w:hint="eastAsia" w:ascii="宋体" w:hAnsi="宋体" w:eastAsia="宋体" w:cs="宋体"/>
          <w:b/>
          <w:color w:val="auto"/>
          <w:kern w:val="2"/>
          <w:sz w:val="24"/>
          <w:szCs w:val="24"/>
          <w:lang w:val="en-US" w:eastAsia="zh-CN" w:bidi="ar-SA"/>
        </w:rPr>
        <w:t>第十一条 合同的变更和终止</w:t>
      </w:r>
    </w:p>
    <w:p w14:paraId="11059396">
      <w:pPr>
        <w:pageBreakBefore w:val="0"/>
        <w:widowControl/>
        <w:kinsoku/>
        <w:wordWrap/>
        <w:overflowPunct/>
        <w:topLinePunct w:val="0"/>
        <w:autoSpaceDE/>
        <w:autoSpaceDN/>
        <w:bidi w:val="0"/>
        <w:adjustRightInd/>
        <w:spacing w:line="600" w:lineRule="exact"/>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除《中华人民共和国政府采购法》第49条、第50条第二款规定的情形外，本合同一经签订，甲乙双方不得擅自变更、中止或终止合同。</w:t>
      </w:r>
    </w:p>
    <w:p w14:paraId="58FB382C">
      <w:pPr>
        <w:pageBreakBefore w:val="0"/>
        <w:widowControl w:val="0"/>
        <w:kinsoku/>
        <w:wordWrap/>
        <w:overflowPunct/>
        <w:topLinePunct w:val="0"/>
        <w:autoSpaceDE/>
        <w:autoSpaceDN/>
        <w:bidi w:val="0"/>
        <w:adjustRightInd/>
        <w:spacing w:line="600" w:lineRule="exact"/>
        <w:ind w:left="0" w:leftChars="0" w:firstLine="482" w:firstLineChars="200"/>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第十二条 争议的解决</w:t>
      </w:r>
    </w:p>
    <w:p w14:paraId="446B30CD">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1.因货物的质量问题发生争议，由质量技术监督部门或其指定的质量鉴定机构进行质量鉴定。货物符合标准的，鉴定费由甲方承担；货物不符合质量标准的，鉴定费由乙方承担。</w:t>
      </w:r>
    </w:p>
    <w:p w14:paraId="6EF1814D">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2.因履行本合同引起的或与本合同有关的争议，甲、乙双方应首先通过友好协商解决，如果协商不成，则采取以下第</w:t>
      </w:r>
      <w:r>
        <w:rPr>
          <w:rFonts w:hint="eastAsia" w:ascii="宋体" w:hAnsi="宋体" w:eastAsia="宋体" w:cs="宋体"/>
          <w:color w:val="auto"/>
          <w:kern w:val="0"/>
          <w:sz w:val="24"/>
          <w:szCs w:val="24"/>
          <w:u w:val="single"/>
          <w:lang w:val="en-US" w:eastAsia="zh-CN" w:bidi="ar-SA"/>
        </w:rPr>
        <w:t xml:space="preserve"> （1）</w:t>
      </w:r>
      <w:r>
        <w:rPr>
          <w:rFonts w:hint="eastAsia" w:ascii="宋体" w:hAnsi="宋体" w:eastAsia="宋体" w:cs="宋体"/>
          <w:color w:val="auto"/>
          <w:kern w:val="0"/>
          <w:sz w:val="24"/>
          <w:szCs w:val="24"/>
          <w:lang w:val="en-US" w:eastAsia="zh-CN" w:bidi="ar-SA"/>
        </w:rPr>
        <w:t>种方式解决争议：</w:t>
      </w:r>
    </w:p>
    <w:p w14:paraId="67EA94DC">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（1）向甲方所在地有管辖权的人民法院提起诉讼；</w:t>
      </w:r>
    </w:p>
    <w:p w14:paraId="0D5D460C">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（2）向</w:t>
      </w:r>
      <w:r>
        <w:rPr>
          <w:rFonts w:hint="eastAsia" w:ascii="宋体" w:hAnsi="宋体" w:eastAsia="宋体" w:cs="宋体"/>
          <w:color w:val="auto"/>
          <w:kern w:val="0"/>
          <w:sz w:val="24"/>
          <w:szCs w:val="24"/>
          <w:u w:val="single"/>
          <w:lang w:val="en-US"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lang w:val="en-US" w:eastAsia="zh-CN" w:bidi="ar-SA"/>
        </w:rPr>
        <w:t>仲裁委员会按其仲裁规则申请仲裁。</w:t>
      </w:r>
    </w:p>
    <w:p w14:paraId="0F2BCBB4">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3.在仲裁期间，本合同应继续履行。</w:t>
      </w:r>
    </w:p>
    <w:p w14:paraId="4D344B8B">
      <w:pPr>
        <w:pageBreakBefore w:val="0"/>
        <w:widowControl w:val="0"/>
        <w:kinsoku/>
        <w:wordWrap/>
        <w:overflowPunct/>
        <w:topLinePunct w:val="0"/>
        <w:autoSpaceDE/>
        <w:autoSpaceDN/>
        <w:bidi w:val="0"/>
        <w:adjustRightInd/>
        <w:spacing w:line="600" w:lineRule="exact"/>
        <w:ind w:left="0" w:leftChars="0" w:firstLine="482" w:firstLineChars="200"/>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第十三条 合同文件</w:t>
      </w:r>
    </w:p>
    <w:p w14:paraId="7928541A">
      <w:pPr>
        <w:pageBreakBefore w:val="0"/>
        <w:widowControl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详细技术说明及其他有关合同</w:t>
      </w:r>
      <w:r>
        <w:rPr>
          <w:rFonts w:hint="eastAsia" w:ascii="宋体" w:hAnsi="宋体" w:eastAsia="宋体" w:cs="宋体"/>
          <w:color w:val="auto"/>
          <w:kern w:val="2"/>
          <w:sz w:val="24"/>
          <w:szCs w:val="24"/>
          <w:lang w:val="en-US" w:eastAsia="zh-CN" w:bidi="ar-SA"/>
        </w:rPr>
        <w:t>项目的特定信息由合同附件予以说明，下列文件构成本合同的组成部分，应该认为是一个整体，彼此相互解释，相互补充。组成合同的多个文件的优先支配地位的次序如下：</w:t>
      </w:r>
    </w:p>
    <w:p w14:paraId="5F8663EC">
      <w:pPr>
        <w:pageBreakBefore w:val="0"/>
        <w:kinsoku/>
        <w:wordWrap/>
        <w:overflowPunct/>
        <w:topLinePunct w:val="0"/>
        <w:autoSpaceDE/>
        <w:autoSpaceDN/>
        <w:bidi w:val="0"/>
        <w:adjustRightInd/>
        <w:snapToGrid w:val="0"/>
        <w:spacing w:line="600" w:lineRule="exact"/>
        <w:ind w:left="0" w:leftChars="0" w:firstLine="539"/>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1.本合同书</w:t>
      </w:r>
    </w:p>
    <w:p w14:paraId="4D3DBE24">
      <w:pPr>
        <w:pageBreakBefore w:val="0"/>
        <w:kinsoku/>
        <w:wordWrap/>
        <w:overflowPunct/>
        <w:topLinePunct w:val="0"/>
        <w:autoSpaceDE/>
        <w:autoSpaceDN/>
        <w:bidi w:val="0"/>
        <w:adjustRightInd/>
        <w:snapToGrid w:val="0"/>
        <w:spacing w:line="600" w:lineRule="exact"/>
        <w:ind w:left="0" w:leftChars="0" w:firstLine="539"/>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2.</w:t>
      </w:r>
      <w:r>
        <w:rPr>
          <w:rFonts w:hint="eastAsia" w:ascii="宋体" w:hAnsi="宋体" w:eastAsia="宋体" w:cs="宋体"/>
          <w:color w:val="auto"/>
          <w:kern w:val="2"/>
          <w:sz w:val="24"/>
          <w:szCs w:val="24"/>
          <w:lang w:val="en-US" w:eastAsia="zh-CN"/>
        </w:rPr>
        <w:t>成交</w:t>
      </w:r>
      <w:r>
        <w:rPr>
          <w:rFonts w:hint="eastAsia" w:ascii="宋体" w:hAnsi="宋体" w:eastAsia="宋体" w:cs="宋体"/>
          <w:color w:val="auto"/>
          <w:kern w:val="2"/>
          <w:sz w:val="24"/>
          <w:szCs w:val="24"/>
        </w:rPr>
        <w:t>通知书</w:t>
      </w:r>
    </w:p>
    <w:p w14:paraId="49E1FFE8">
      <w:pPr>
        <w:pageBreakBefore w:val="0"/>
        <w:kinsoku/>
        <w:wordWrap/>
        <w:overflowPunct/>
        <w:topLinePunct w:val="0"/>
        <w:autoSpaceDE/>
        <w:autoSpaceDN/>
        <w:bidi w:val="0"/>
        <w:adjustRightInd/>
        <w:snapToGrid w:val="0"/>
        <w:spacing w:line="600" w:lineRule="exact"/>
        <w:ind w:left="0" w:leftChars="0" w:firstLine="539"/>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3.协议</w:t>
      </w:r>
    </w:p>
    <w:p w14:paraId="10726C00">
      <w:pPr>
        <w:pageBreakBefore w:val="0"/>
        <w:kinsoku/>
        <w:wordWrap/>
        <w:overflowPunct/>
        <w:topLinePunct w:val="0"/>
        <w:autoSpaceDE/>
        <w:autoSpaceDN/>
        <w:bidi w:val="0"/>
        <w:adjustRightInd/>
        <w:snapToGrid w:val="0"/>
        <w:spacing w:line="600" w:lineRule="exact"/>
        <w:ind w:left="0" w:leftChars="0" w:firstLine="539"/>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4.</w:t>
      </w:r>
      <w:r>
        <w:rPr>
          <w:rFonts w:hint="eastAsia" w:ascii="宋体" w:hAnsi="宋体" w:eastAsia="宋体" w:cs="宋体"/>
          <w:color w:val="auto"/>
          <w:kern w:val="2"/>
          <w:sz w:val="24"/>
          <w:szCs w:val="24"/>
          <w:lang w:val="en-US" w:eastAsia="zh-CN"/>
        </w:rPr>
        <w:t>采购文件</w:t>
      </w:r>
      <w:r>
        <w:rPr>
          <w:rFonts w:hint="eastAsia" w:ascii="宋体" w:hAnsi="宋体" w:eastAsia="宋体" w:cs="宋体"/>
          <w:color w:val="auto"/>
          <w:kern w:val="2"/>
          <w:sz w:val="24"/>
          <w:szCs w:val="24"/>
        </w:rPr>
        <w:t>(含澄清或者修改文件)</w:t>
      </w:r>
    </w:p>
    <w:p w14:paraId="445D3389">
      <w:pPr>
        <w:pageBreakBefore w:val="0"/>
        <w:kinsoku/>
        <w:wordWrap/>
        <w:overflowPunct/>
        <w:topLinePunct w:val="0"/>
        <w:autoSpaceDE/>
        <w:autoSpaceDN/>
        <w:bidi w:val="0"/>
        <w:adjustRightInd/>
        <w:snapToGrid w:val="0"/>
        <w:spacing w:line="600" w:lineRule="exact"/>
        <w:ind w:left="0" w:leftChars="0" w:firstLine="539"/>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w:t>
      </w:r>
      <w:r>
        <w:rPr>
          <w:rFonts w:hint="eastAsia" w:ascii="宋体" w:hAnsi="宋体" w:eastAsia="宋体" w:cs="宋体"/>
          <w:color w:val="auto"/>
          <w:kern w:val="2"/>
          <w:sz w:val="24"/>
          <w:szCs w:val="24"/>
          <w:lang w:val="en-US" w:eastAsia="zh-CN"/>
        </w:rPr>
        <w:t>响应文件</w:t>
      </w:r>
    </w:p>
    <w:p w14:paraId="3A51FE93">
      <w:pPr>
        <w:pageBreakBefore w:val="0"/>
        <w:widowControl w:val="0"/>
        <w:kinsoku/>
        <w:wordWrap/>
        <w:overflowPunct/>
        <w:topLinePunct w:val="0"/>
        <w:autoSpaceDE/>
        <w:autoSpaceDN/>
        <w:bidi w:val="0"/>
        <w:adjustRightInd/>
        <w:spacing w:line="600" w:lineRule="exact"/>
        <w:ind w:left="0" w:leftChars="0" w:firstLine="482" w:firstLineChars="200"/>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第十四条 合同生效及其他</w:t>
      </w:r>
    </w:p>
    <w:p w14:paraId="4A6EBB2A">
      <w:pPr>
        <w:pageBreakBefore w:val="0"/>
        <w:kinsoku/>
        <w:wordWrap/>
        <w:overflowPunct/>
        <w:topLinePunct w:val="0"/>
        <w:autoSpaceDE/>
        <w:autoSpaceDN/>
        <w:bidi w:val="0"/>
        <w:adjustRightInd/>
        <w:snapToGrid w:val="0"/>
        <w:spacing w:line="600" w:lineRule="exact"/>
        <w:ind w:left="0" w:leftChars="0" w:firstLine="539"/>
        <w:jc w:val="both"/>
        <w:rPr>
          <w:rFonts w:hint="eastAsia" w:ascii="宋体" w:hAnsi="宋体" w:eastAsia="宋体" w:cs="宋体"/>
          <w:color w:val="auto"/>
          <w:kern w:val="2"/>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2"/>
          <w:sz w:val="24"/>
          <w:szCs w:val="24"/>
        </w:rPr>
        <w:t>如有未尽事宜，由双方依法订立补充合同。</w:t>
      </w:r>
    </w:p>
    <w:p w14:paraId="2A971BDD">
      <w:pPr>
        <w:pageBreakBefore w:val="0"/>
        <w:kinsoku/>
        <w:wordWrap/>
        <w:overflowPunct/>
        <w:topLinePunct w:val="0"/>
        <w:autoSpaceDE/>
        <w:autoSpaceDN/>
        <w:bidi w:val="0"/>
        <w:adjustRightInd/>
        <w:snapToGrid w:val="0"/>
        <w:spacing w:line="600" w:lineRule="exact"/>
        <w:ind w:left="0" w:leftChars="0" w:firstLine="539"/>
        <w:jc w:val="both"/>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2.本合同自签订之日起生效。</w:t>
      </w:r>
    </w:p>
    <w:p w14:paraId="6D147EFF">
      <w:pPr>
        <w:pageBreakBefore w:val="0"/>
        <w:kinsoku/>
        <w:wordWrap/>
        <w:overflowPunct/>
        <w:topLinePunct w:val="0"/>
        <w:autoSpaceDE/>
        <w:autoSpaceDN/>
        <w:bidi w:val="0"/>
        <w:adjustRightInd/>
        <w:snapToGrid w:val="0"/>
        <w:spacing w:line="600" w:lineRule="exact"/>
        <w:ind w:left="0" w:leftChars="0" w:firstLine="539"/>
        <w:jc w:val="both"/>
        <w:rPr>
          <w:rFonts w:hint="eastAsia" w:ascii="宋体" w:hAnsi="宋体" w:eastAsia="宋体" w:cs="宋体"/>
          <w:color w:val="auto"/>
          <w:kern w:val="2"/>
          <w:sz w:val="24"/>
          <w:szCs w:val="24"/>
        </w:rPr>
      </w:pPr>
      <w:r>
        <w:rPr>
          <w:rFonts w:hint="eastAsia" w:ascii="宋体" w:hAnsi="宋体" w:eastAsia="宋体" w:cs="宋体"/>
          <w:color w:val="auto"/>
          <w:kern w:val="0"/>
          <w:sz w:val="24"/>
          <w:szCs w:val="24"/>
        </w:rPr>
        <w:t>3.本合同一式</w:t>
      </w:r>
      <w:r>
        <w:rPr>
          <w:rFonts w:hint="eastAsia" w:ascii="宋体" w:hAnsi="宋体" w:eastAsia="宋体" w:cs="宋体"/>
          <w:color w:val="auto"/>
          <w:kern w:val="0"/>
          <w:sz w:val="24"/>
          <w:szCs w:val="24"/>
          <w:u w:val="single"/>
          <w:lang w:val="en-US" w:eastAsia="zh-CN"/>
        </w:rPr>
        <w:t xml:space="preserve"> 肆 </w:t>
      </w:r>
      <w:r>
        <w:rPr>
          <w:rFonts w:hint="eastAsia" w:ascii="宋体" w:hAnsi="宋体" w:eastAsia="宋体" w:cs="宋体"/>
          <w:color w:val="auto"/>
          <w:kern w:val="0"/>
          <w:sz w:val="24"/>
          <w:szCs w:val="24"/>
        </w:rPr>
        <w:t>份，具有同等法律效力，甲乙双方各执</w:t>
      </w:r>
      <w:r>
        <w:rPr>
          <w:rFonts w:hint="eastAsia" w:ascii="宋体" w:hAnsi="宋体" w:eastAsia="宋体" w:cs="宋体"/>
          <w:color w:val="auto"/>
          <w:kern w:val="0"/>
          <w:sz w:val="24"/>
          <w:szCs w:val="24"/>
          <w:u w:val="single"/>
          <w:lang w:val="en-US" w:eastAsia="zh-CN"/>
        </w:rPr>
        <w:t xml:space="preserve"> 贰 </w:t>
      </w:r>
      <w:r>
        <w:rPr>
          <w:rFonts w:hint="eastAsia" w:ascii="宋体" w:hAnsi="宋体" w:eastAsia="宋体" w:cs="宋体"/>
          <w:color w:val="auto"/>
          <w:kern w:val="0"/>
          <w:sz w:val="24"/>
          <w:szCs w:val="24"/>
        </w:rPr>
        <w:t>份。</w:t>
      </w:r>
    </w:p>
    <w:p w14:paraId="16104670">
      <w:pPr>
        <w:pageBreakBefore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rPr>
      </w:pPr>
    </w:p>
    <w:p w14:paraId="25E98C87">
      <w:pPr>
        <w:widowControl w:val="0"/>
        <w:ind w:right="-112" w:rightChars="-40"/>
        <w:jc w:val="center"/>
        <w:rPr>
          <w:rFonts w:hint="eastAsia" w:ascii="宋体" w:hAnsi="宋体" w:eastAsia="宋体" w:cs="宋体"/>
          <w:color w:val="auto"/>
          <w:kern w:val="2"/>
          <w:sz w:val="21"/>
          <w:szCs w:val="24"/>
          <w:lang w:val="en-US" w:eastAsia="zh-CN" w:bidi="ar-SA"/>
        </w:rPr>
      </w:pPr>
    </w:p>
    <w:p w14:paraId="2C942D7C">
      <w:pPr>
        <w:widowControl w:val="0"/>
        <w:ind w:right="-112" w:rightChars="-40"/>
        <w:jc w:val="center"/>
        <w:rPr>
          <w:rFonts w:hint="eastAsia" w:ascii="宋体" w:hAnsi="宋体" w:eastAsia="宋体" w:cs="宋体"/>
          <w:color w:val="auto"/>
          <w:kern w:val="2"/>
          <w:sz w:val="21"/>
          <w:szCs w:val="24"/>
          <w:lang w:val="en-US" w:eastAsia="zh-CN" w:bidi="ar-SA"/>
        </w:rPr>
      </w:pPr>
    </w:p>
    <w:p w14:paraId="6B8FA4C0">
      <w:pPr>
        <w:pageBreakBefore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甲方：   （盖章）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 xml:space="preserve">   乙方：   （盖章）</w:t>
      </w:r>
    </w:p>
    <w:p w14:paraId="231D9E07">
      <w:pPr>
        <w:pageBreakBefore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法定代表人/委托代理人：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 xml:space="preserve">   法定代表人/委托代理人：</w:t>
      </w:r>
    </w:p>
    <w:p w14:paraId="2AC0CB67">
      <w:pPr>
        <w:pageBreakBefore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地    址：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 xml:space="preserve"> 地    址：</w:t>
      </w:r>
    </w:p>
    <w:p w14:paraId="4CF42567">
      <w:pPr>
        <w:pageBreakBefore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开户银行：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 xml:space="preserve"> 开户银行：</w:t>
      </w:r>
    </w:p>
    <w:p w14:paraId="5853AD73">
      <w:pPr>
        <w:pageBreakBefore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账    号：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 xml:space="preserve">  账    号：</w:t>
      </w:r>
    </w:p>
    <w:p w14:paraId="30A4C7F7">
      <w:pPr>
        <w:pageBreakBefore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电    话：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 xml:space="preserve"> 电    话：</w:t>
      </w:r>
    </w:p>
    <w:p w14:paraId="2CFA4C26">
      <w:pPr>
        <w:pageBreakBefore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传    真：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传    真：</w:t>
      </w:r>
    </w:p>
    <w:p w14:paraId="3DFB6322">
      <w:pPr>
        <w:pageBreakBefore w:val="0"/>
        <w:kinsoku/>
        <w:wordWrap/>
        <w:overflowPunct/>
        <w:topLinePunct w:val="0"/>
        <w:autoSpaceDE/>
        <w:autoSpaceDN/>
        <w:bidi w:val="0"/>
        <w:adjustRightInd/>
        <w:spacing w:line="600" w:lineRule="exact"/>
        <w:ind w:left="0" w:leftChars="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签约日期：    年  月  日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 xml:space="preserve"> 签约日期：    年  月  日</w:t>
      </w:r>
    </w:p>
    <w:p w14:paraId="7C1AAD71">
      <w:pPr>
        <w:rPr>
          <w:rFonts w:hint="eastAsia" w:ascii="宋体" w:hAnsi="宋体" w:eastAsia="宋体" w:cs="宋体"/>
        </w:rPr>
      </w:pPr>
    </w:p>
    <w:sectPr>
      <w:pgSz w:w="11906" w:h="16838"/>
      <w:pgMar w:top="1587"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书宋简体">
    <w:altName w:val="黑体"/>
    <w:panose1 w:val="00000000000000000000"/>
    <w:charset w:val="86"/>
    <w:family w:val="script"/>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0154581C"/>
    <w:rsid w:val="0154581C"/>
    <w:rsid w:val="0E0110A6"/>
    <w:rsid w:val="1C78594D"/>
    <w:rsid w:val="26420465"/>
    <w:rsid w:val="3ADA5FF1"/>
    <w:rsid w:val="447E040E"/>
    <w:rsid w:val="6D060467"/>
    <w:rsid w:val="7205062F"/>
    <w:rsid w:val="76652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jc w:val="both"/>
    </w:pPr>
    <w:rPr>
      <w:rFonts w:ascii="Times New Roman" w:hAnsi="Times New Roman"/>
      <w:sz w:val="21"/>
      <w:szCs w:val="21"/>
    </w:rPr>
  </w:style>
  <w:style w:type="paragraph" w:styleId="3">
    <w:name w:val="Body Text"/>
    <w:basedOn w:val="1"/>
    <w:next w:val="1"/>
    <w:qFormat/>
    <w:uiPriority w:val="0"/>
    <w:pPr>
      <w:spacing w:after="120" w:afterLines="0"/>
    </w:pPr>
  </w:style>
  <w:style w:type="paragraph" w:styleId="4">
    <w:name w:val="Body Text Indent"/>
    <w:basedOn w:val="1"/>
    <w:next w:val="1"/>
    <w:qFormat/>
    <w:uiPriority w:val="0"/>
    <w:pPr>
      <w:spacing w:line="600" w:lineRule="exact"/>
      <w:ind w:firstLine="560"/>
      <w:jc w:val="both"/>
    </w:pPr>
    <w:rPr>
      <w:rFonts w:ascii="方正书宋简体" w:hAnsi="Times New Roman" w:eastAsia="方正书宋简体"/>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next w:val="1"/>
    <w:qFormat/>
    <w:uiPriority w:val="0"/>
    <w:pPr>
      <w:spacing w:before="240" w:after="60"/>
      <w:jc w:val="center"/>
      <w:outlineLvl w:val="0"/>
    </w:pPr>
    <w:rPr>
      <w:rFonts w:ascii="等线 Light" w:hAnsi="等线 Light" w:eastAsia="仿宋" w:cs="Times New Roman"/>
      <w:b/>
      <w:bCs/>
      <w:sz w:val="32"/>
      <w:szCs w:val="32"/>
    </w:rPr>
  </w:style>
  <w:style w:type="paragraph" w:styleId="7">
    <w:name w:val="Body Text First Indent 2"/>
    <w:basedOn w:val="4"/>
    <w:next w:val="1"/>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table" w:styleId="9">
    <w:name w:val="Table Grid"/>
    <w:basedOn w:val="8"/>
    <w:qFormat/>
    <w:uiPriority w:val="5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1"/>
    <w:qFormat/>
    <w:uiPriority w:val="0"/>
    <w:pPr>
      <w:widowControl w:val="0"/>
      <w:jc w:val="both"/>
    </w:pPr>
    <w:rPr>
      <w:rFonts w:ascii="Times New Roman" w:hAnsi="Times New Roman" w:eastAsia="Times New Roman" w:cs="Times New Roman"/>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2969</Words>
  <Characters>3016</Characters>
  <Lines>0</Lines>
  <Paragraphs>0</Paragraphs>
  <TotalTime>11</TotalTime>
  <ScaleCrop>false</ScaleCrop>
  <LinksUpToDate>false</LinksUpToDate>
  <CharactersWithSpaces>3486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2023-10-07T04:07:00Z</dcterms:created>
  <dc:creator>念。</dc:creator>
  <cp:lastModifiedBy>风语者</cp:lastModifiedBy>
  <dcterms:modified xsi:type="dcterms:W3CDTF">2025-09-17T10:39:23Z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F0C6C58FAB454D58932E449FD1F7928B_13</vt:lpwstr>
  </property>
  <property fmtid="{D5CDD505-2E9C-101B-9397-08002B2CF9AE}" pid="4" name="KSOTemplateDocerSaveRecord">
    <vt:lpwstr>eyJoZGlkIjoiYjhjMjM1NTY3MTdkMTZiZmM3ZDQyZjIyZmQ5Njk3MzgiLCJ1c2VySWQiOiIzMTY0NjI2NTgifQ==</vt:lpwstr>
  </property>
</Properties>
</file>