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256AE9">
      <w:pPr>
        <w:jc w:val="center"/>
        <w:rPr>
          <w:b/>
          <w:bCs/>
          <w:sz w:val="28"/>
          <w:szCs w:val="28"/>
        </w:rPr>
      </w:pPr>
    </w:p>
    <w:p w14:paraId="4956A03D">
      <w:pPr>
        <w:jc w:val="center"/>
        <w:rPr>
          <w:b/>
          <w:bCs/>
          <w:sz w:val="28"/>
          <w:szCs w:val="28"/>
        </w:rPr>
      </w:pPr>
    </w:p>
    <w:p w14:paraId="0809CF9F">
      <w:pPr>
        <w:jc w:val="center"/>
        <w:rPr>
          <w:b/>
          <w:bCs/>
          <w:sz w:val="28"/>
          <w:szCs w:val="28"/>
        </w:rPr>
      </w:pPr>
    </w:p>
    <w:p w14:paraId="3C7B626F">
      <w:pPr>
        <w:jc w:val="center"/>
        <w:rPr>
          <w:b/>
          <w:bCs/>
          <w:sz w:val="28"/>
          <w:szCs w:val="28"/>
        </w:rPr>
      </w:pPr>
    </w:p>
    <w:p w14:paraId="7309F38E">
      <w:pPr>
        <w:jc w:val="center"/>
        <w:rPr>
          <w:b/>
          <w:bCs/>
          <w:sz w:val="28"/>
          <w:szCs w:val="28"/>
        </w:rPr>
      </w:pPr>
      <w:r>
        <w:rPr>
          <w:rFonts w:hint="eastAsia"/>
          <w:b/>
          <w:bCs/>
          <w:sz w:val="28"/>
          <w:szCs w:val="28"/>
        </w:rPr>
        <w:t>鄠邑区数据和行政审批服务局2025~2027年度政务服务中心</w:t>
      </w:r>
      <w:r>
        <w:rPr>
          <w:rFonts w:hint="eastAsia"/>
          <w:b/>
          <w:bCs/>
          <w:sz w:val="28"/>
          <w:szCs w:val="28"/>
        </w:rPr>
        <w:br w:type="textWrapping"/>
      </w:r>
      <w:r>
        <w:rPr>
          <w:rFonts w:hint="eastAsia"/>
          <w:b/>
          <w:bCs/>
          <w:sz w:val="28"/>
          <w:szCs w:val="28"/>
        </w:rPr>
        <w:t>物业服务合同</w:t>
      </w:r>
    </w:p>
    <w:p w14:paraId="0A562E55">
      <w:pPr>
        <w:jc w:val="center"/>
        <w:rPr>
          <w:b/>
          <w:bCs/>
          <w:sz w:val="28"/>
          <w:szCs w:val="28"/>
        </w:rPr>
      </w:pPr>
    </w:p>
    <w:p w14:paraId="23BECCEB">
      <w:pPr>
        <w:jc w:val="center"/>
        <w:rPr>
          <w:b/>
          <w:bCs/>
          <w:sz w:val="28"/>
          <w:szCs w:val="28"/>
        </w:rPr>
      </w:pPr>
    </w:p>
    <w:p w14:paraId="0B0E58D4">
      <w:pPr>
        <w:jc w:val="center"/>
        <w:rPr>
          <w:b/>
          <w:bCs/>
          <w:sz w:val="28"/>
          <w:szCs w:val="28"/>
        </w:rPr>
      </w:pPr>
    </w:p>
    <w:p w14:paraId="1F87FF52">
      <w:pPr>
        <w:jc w:val="center"/>
        <w:rPr>
          <w:b/>
          <w:bCs/>
          <w:sz w:val="28"/>
          <w:szCs w:val="28"/>
        </w:rPr>
      </w:pPr>
    </w:p>
    <w:p w14:paraId="0CBA3F1F">
      <w:pPr>
        <w:jc w:val="center"/>
        <w:rPr>
          <w:b/>
          <w:bCs/>
          <w:sz w:val="28"/>
          <w:szCs w:val="28"/>
        </w:rPr>
      </w:pPr>
    </w:p>
    <w:p w14:paraId="340847E2">
      <w:pPr>
        <w:jc w:val="center"/>
        <w:rPr>
          <w:b/>
          <w:bCs/>
          <w:sz w:val="28"/>
          <w:szCs w:val="28"/>
        </w:rPr>
      </w:pPr>
    </w:p>
    <w:p w14:paraId="4DADEB7B">
      <w:pPr>
        <w:jc w:val="center"/>
        <w:rPr>
          <w:b/>
          <w:bCs/>
          <w:sz w:val="28"/>
          <w:szCs w:val="28"/>
        </w:rPr>
      </w:pPr>
    </w:p>
    <w:p w14:paraId="44DFEE7C">
      <w:pPr>
        <w:jc w:val="center"/>
        <w:rPr>
          <w:b/>
          <w:bCs/>
          <w:sz w:val="28"/>
          <w:szCs w:val="28"/>
        </w:rPr>
      </w:pPr>
    </w:p>
    <w:p w14:paraId="3EBC72F2">
      <w:pPr>
        <w:jc w:val="center"/>
        <w:rPr>
          <w:b/>
          <w:bCs/>
          <w:sz w:val="28"/>
          <w:szCs w:val="28"/>
        </w:rPr>
      </w:pPr>
    </w:p>
    <w:p w14:paraId="2B28E8B1">
      <w:pPr>
        <w:jc w:val="center"/>
        <w:rPr>
          <w:b/>
          <w:bCs/>
          <w:sz w:val="28"/>
          <w:szCs w:val="28"/>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4312"/>
      </w:tblGrid>
      <w:tr w14:paraId="57822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tcBorders>
              <w:top w:val="nil"/>
              <w:left w:val="nil"/>
              <w:bottom w:val="nil"/>
              <w:right w:val="nil"/>
            </w:tcBorders>
            <w:vAlign w:val="center"/>
          </w:tcPr>
          <w:p w14:paraId="3B7A59B0">
            <w:pPr>
              <w:rPr>
                <w:b/>
                <w:bCs/>
                <w:sz w:val="24"/>
              </w:rPr>
            </w:pPr>
            <w:r>
              <w:rPr>
                <w:rFonts w:hint="eastAsia"/>
                <w:b/>
                <w:bCs/>
                <w:sz w:val="24"/>
              </w:rPr>
              <w:t>甲方</w:t>
            </w:r>
          </w:p>
        </w:tc>
        <w:tc>
          <w:tcPr>
            <w:tcW w:w="0" w:type="auto"/>
            <w:tcBorders>
              <w:top w:val="nil"/>
              <w:left w:val="nil"/>
              <w:bottom w:val="nil"/>
              <w:right w:val="nil"/>
            </w:tcBorders>
            <w:vAlign w:val="center"/>
          </w:tcPr>
          <w:p w14:paraId="3F7E08EB">
            <w:pPr>
              <w:rPr>
                <w:b/>
                <w:bCs/>
                <w:sz w:val="24"/>
              </w:rPr>
            </w:pPr>
            <w:r>
              <w:rPr>
                <w:rFonts w:hint="eastAsia"/>
                <w:b/>
                <w:bCs/>
                <w:sz w:val="24"/>
              </w:rPr>
              <w:t>：</w:t>
            </w:r>
            <w:r>
              <w:rPr>
                <w:rFonts w:hint="eastAsia"/>
                <w:b/>
                <w:bCs/>
                <w:sz w:val="24"/>
                <w:u w:val="single"/>
              </w:rPr>
              <w:t>西安市鄠邑区数据和行政审批服务局</w:t>
            </w:r>
          </w:p>
        </w:tc>
      </w:tr>
      <w:tr w14:paraId="3A5D8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tcBorders>
              <w:top w:val="nil"/>
              <w:left w:val="nil"/>
              <w:bottom w:val="nil"/>
              <w:right w:val="nil"/>
            </w:tcBorders>
            <w:vAlign w:val="center"/>
          </w:tcPr>
          <w:p w14:paraId="2E016D43">
            <w:pPr>
              <w:rPr>
                <w:b/>
                <w:bCs/>
                <w:sz w:val="24"/>
              </w:rPr>
            </w:pPr>
            <w:r>
              <w:rPr>
                <w:rFonts w:hint="eastAsia"/>
                <w:b/>
                <w:bCs/>
                <w:sz w:val="24"/>
              </w:rPr>
              <w:t>乙方</w:t>
            </w:r>
          </w:p>
        </w:tc>
        <w:tc>
          <w:tcPr>
            <w:tcW w:w="0" w:type="auto"/>
            <w:tcBorders>
              <w:top w:val="nil"/>
              <w:left w:val="nil"/>
              <w:bottom w:val="nil"/>
              <w:right w:val="nil"/>
            </w:tcBorders>
            <w:vAlign w:val="center"/>
          </w:tcPr>
          <w:p w14:paraId="1F891E2F">
            <w:pPr>
              <w:rPr>
                <w:b/>
                <w:bCs/>
                <w:sz w:val="24"/>
              </w:rPr>
            </w:pPr>
            <w:r>
              <w:rPr>
                <w:rFonts w:hint="eastAsia"/>
                <w:b/>
                <w:bCs/>
                <w:sz w:val="24"/>
              </w:rPr>
              <w:t>：</w:t>
            </w:r>
            <w:r>
              <w:rPr>
                <w:rFonts w:hint="eastAsia"/>
                <w:b/>
                <w:bCs/>
                <w:sz w:val="24"/>
                <w:u w:val="single"/>
              </w:rPr>
              <w:t xml:space="preserve">                                </w:t>
            </w:r>
          </w:p>
        </w:tc>
      </w:tr>
    </w:tbl>
    <w:p w14:paraId="7B0A8260">
      <w:pPr>
        <w:rPr>
          <w:b/>
          <w:bCs/>
          <w:sz w:val="24"/>
          <w:u w:val="single"/>
        </w:rPr>
      </w:pPr>
      <w:r>
        <w:rPr>
          <w:b/>
          <w:bCs/>
          <w:sz w:val="24"/>
          <w:u w:val="single"/>
        </w:rPr>
        <w:br w:type="page"/>
      </w:r>
    </w:p>
    <w:p w14:paraId="44789A25">
      <w:pPr>
        <w:spacing w:line="360" w:lineRule="auto"/>
        <w:jc w:val="center"/>
        <w:rPr>
          <w:b/>
          <w:bCs/>
          <w:color w:val="000000" w:themeColor="text1"/>
          <w:sz w:val="28"/>
          <w:szCs w:val="28"/>
          <w14:textFill>
            <w14:solidFill>
              <w14:schemeClr w14:val="tx1"/>
            </w14:solidFill>
          </w14:textFill>
        </w:rPr>
      </w:pPr>
      <w:r>
        <w:rPr>
          <w:b/>
          <w:bCs/>
          <w:color w:val="000000" w:themeColor="text1"/>
          <w:sz w:val="28"/>
          <w:szCs w:val="28"/>
          <w14:textFill>
            <w14:solidFill>
              <w14:schemeClr w14:val="tx1"/>
            </w14:solidFill>
          </w14:textFill>
        </w:rPr>
        <w:t>鄠邑区数据和行政审批服务局2025~2027年度政务服务中心</w:t>
      </w:r>
      <w:r>
        <w:rPr>
          <w:b/>
          <w:bCs/>
          <w:color w:val="000000" w:themeColor="text1"/>
          <w:sz w:val="28"/>
          <w:szCs w:val="28"/>
          <w14:textFill>
            <w14:solidFill>
              <w14:schemeClr w14:val="tx1"/>
            </w14:solidFill>
          </w14:textFill>
        </w:rPr>
        <w:br w:type="textWrapping"/>
      </w:r>
      <w:r>
        <w:rPr>
          <w:b/>
          <w:bCs/>
          <w:color w:val="000000" w:themeColor="text1"/>
          <w:sz w:val="28"/>
          <w:szCs w:val="28"/>
          <w14:textFill>
            <w14:solidFill>
              <w14:schemeClr w14:val="tx1"/>
            </w14:solidFill>
          </w14:textFill>
        </w:rPr>
        <w:t>物业服务合同</w:t>
      </w:r>
    </w:p>
    <w:p w14:paraId="1A458359">
      <w:pPr>
        <w:spacing w:line="360" w:lineRule="auto"/>
        <w:rPr>
          <w:b/>
          <w:bCs/>
          <w:color w:val="000000" w:themeColor="text1"/>
          <w:sz w:val="24"/>
          <w14:textFill>
            <w14:solidFill>
              <w14:schemeClr w14:val="tx1"/>
            </w14:solidFill>
          </w14:textFill>
        </w:rPr>
      </w:pPr>
    </w:p>
    <w:p w14:paraId="474EB32E">
      <w:pPr>
        <w:spacing w:line="360" w:lineRule="auto"/>
        <w:rPr>
          <w:b/>
          <w:bCs/>
          <w:color w:val="000000" w:themeColor="text1"/>
          <w:sz w:val="24"/>
          <w:u w:val="single"/>
          <w14:textFill>
            <w14:solidFill>
              <w14:schemeClr w14:val="tx1"/>
            </w14:solidFill>
          </w14:textFill>
        </w:rPr>
      </w:pPr>
      <w:r>
        <w:rPr>
          <w:rFonts w:hint="eastAsia"/>
          <w:b/>
          <w:bCs/>
          <w:color w:val="000000" w:themeColor="text1"/>
          <w:sz w:val="24"/>
          <w14:textFill>
            <w14:solidFill>
              <w14:schemeClr w14:val="tx1"/>
            </w14:solidFill>
          </w14:textFill>
        </w:rPr>
        <w:t>甲方（全称）：</w:t>
      </w:r>
      <w:r>
        <w:rPr>
          <w:rFonts w:hint="eastAsia"/>
          <w:b/>
          <w:bCs/>
          <w:color w:val="000000" w:themeColor="text1"/>
          <w:sz w:val="24"/>
          <w:u w:val="single"/>
          <w14:textFill>
            <w14:solidFill>
              <w14:schemeClr w14:val="tx1"/>
            </w14:solidFill>
          </w14:textFill>
        </w:rPr>
        <w:t>西安市鄠邑区数据和行政审批服务局</w:t>
      </w:r>
    </w:p>
    <w:p w14:paraId="47E3FF80">
      <w:pPr>
        <w:spacing w:line="360" w:lineRule="auto"/>
        <w:rPr>
          <w:b/>
          <w:bCs/>
          <w:color w:val="000000" w:themeColor="text1"/>
          <w:sz w:val="24"/>
          <w:u w:val="single"/>
          <w14:textFill>
            <w14:solidFill>
              <w14:schemeClr w14:val="tx1"/>
            </w14:solidFill>
          </w14:textFill>
        </w:rPr>
      </w:pPr>
      <w:r>
        <w:rPr>
          <w:rFonts w:hint="eastAsia"/>
          <w:b/>
          <w:bCs/>
          <w:color w:val="000000" w:themeColor="text1"/>
          <w:sz w:val="24"/>
          <w14:textFill>
            <w14:solidFill>
              <w14:schemeClr w14:val="tx1"/>
            </w14:solidFill>
          </w14:textFill>
        </w:rPr>
        <w:t>乙方（全称）：</w:t>
      </w:r>
      <w:r>
        <w:rPr>
          <w:rFonts w:hint="eastAsia"/>
          <w:b/>
          <w:bCs/>
          <w:color w:val="000000" w:themeColor="text1"/>
          <w:sz w:val="24"/>
          <w:u w:val="single"/>
          <w14:textFill>
            <w14:solidFill>
              <w14:schemeClr w14:val="tx1"/>
            </w14:solidFill>
          </w14:textFill>
        </w:rPr>
        <w:t xml:space="preserve">                                </w:t>
      </w:r>
    </w:p>
    <w:p w14:paraId="7D82D9A4">
      <w:pPr>
        <w:spacing w:line="360" w:lineRule="auto"/>
        <w:rPr>
          <w:b/>
          <w:bCs/>
          <w:color w:val="000000" w:themeColor="text1"/>
          <w:sz w:val="24"/>
          <w:u w:val="single"/>
          <w14:textFill>
            <w14:solidFill>
              <w14:schemeClr w14:val="tx1"/>
            </w14:solidFill>
          </w14:textFill>
        </w:rPr>
      </w:pPr>
    </w:p>
    <w:p w14:paraId="7C1D4429">
      <w:pPr>
        <w:spacing w:line="360" w:lineRule="auto"/>
        <w:ind w:firstLine="420"/>
        <w:rPr>
          <w:color w:val="000000" w:themeColor="text1"/>
          <w:sz w:val="24"/>
          <w14:textFill>
            <w14:solidFill>
              <w14:schemeClr w14:val="tx1"/>
            </w14:solidFill>
          </w14:textFill>
        </w:rPr>
      </w:pPr>
      <w:r>
        <w:rPr>
          <w:color w:val="000000" w:themeColor="text1"/>
          <w:sz w:val="24"/>
          <w14:textFill>
            <w14:solidFill>
              <w14:schemeClr w14:val="tx1"/>
            </w14:solidFill>
          </w14:textFill>
        </w:rPr>
        <w:t>甲方将本合同项目所约定的物业委托乙方实行专业化、规范化、一体化物业服务，乙方同意接受甲方的委托，并按照成交价格</w:t>
      </w:r>
      <w:bookmarkStart w:id="0" w:name="_GoBack"/>
      <w:bookmarkEnd w:id="0"/>
      <w:r>
        <w:rPr>
          <w:color w:val="000000" w:themeColor="text1"/>
          <w:sz w:val="24"/>
          <w14:textFill>
            <w14:solidFill>
              <w14:schemeClr w14:val="tx1"/>
            </w14:solidFill>
          </w14:textFill>
        </w:rPr>
        <w:t>提供符合合同要求的服务。根据《中华人民共和国民法典》及其他有关法律、法规，遵循平等、自愿、公平和诚信的原则，双方就下述项目范围与相关服务事项协商一致，订立本合同</w:t>
      </w:r>
      <w:r>
        <w:rPr>
          <w:rFonts w:hint="eastAsia"/>
          <w:color w:val="000000" w:themeColor="text1"/>
          <w:sz w:val="24"/>
          <w14:textFill>
            <w14:solidFill>
              <w14:schemeClr w14:val="tx1"/>
            </w14:solidFill>
          </w14:textFill>
        </w:rPr>
        <w:t>。</w:t>
      </w:r>
    </w:p>
    <w:p w14:paraId="67742DD2">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项目概况</w:t>
      </w:r>
    </w:p>
    <w:p w14:paraId="2D526C89">
      <w:pPr>
        <w:numPr>
          <w:ilvl w:val="1"/>
          <w:numId w:val="1"/>
        </w:numPr>
        <w:spacing w:line="360" w:lineRule="auto"/>
        <w:ind w:firstLine="480" w:firstLineChars="200"/>
        <w:rPr>
          <w:color w:val="000000" w:themeColor="text1"/>
          <w:sz w:val="24"/>
          <w:u w:val="single"/>
          <w14:textFill>
            <w14:solidFill>
              <w14:schemeClr w14:val="tx1"/>
            </w14:solidFill>
          </w14:textFill>
        </w:rPr>
      </w:pPr>
      <w:r>
        <w:rPr>
          <w:rFonts w:hint="eastAsia"/>
          <w:color w:val="000000" w:themeColor="text1"/>
          <w:sz w:val="24"/>
          <w14:textFill>
            <w14:solidFill>
              <w14:schemeClr w14:val="tx1"/>
            </w14:solidFill>
          </w14:textFill>
        </w:rPr>
        <w:t>项目名称：</w:t>
      </w:r>
      <w:r>
        <w:rPr>
          <w:rFonts w:hint="eastAsia"/>
          <w:color w:val="000000" w:themeColor="text1"/>
          <w:sz w:val="24"/>
          <w:u w:val="single"/>
          <w14:textFill>
            <w14:solidFill>
              <w14:schemeClr w14:val="tx1"/>
            </w14:solidFill>
          </w14:textFill>
        </w:rPr>
        <w:t>鄠邑区数据和行政审批服务局2025~2027年度政务服务中心物业服务项目</w:t>
      </w:r>
    </w:p>
    <w:p w14:paraId="75E5C56F">
      <w:pPr>
        <w:numPr>
          <w:ilvl w:val="1"/>
          <w:numId w:val="1"/>
        </w:num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项目地点：</w:t>
      </w:r>
      <w:r>
        <w:rPr>
          <w:rFonts w:hint="eastAsia"/>
          <w:color w:val="000000" w:themeColor="text1"/>
          <w:sz w:val="24"/>
          <w:u w:val="single"/>
          <w14:textFill>
            <w14:solidFill>
              <w14:schemeClr w14:val="tx1"/>
            </w14:solidFill>
          </w14:textFill>
        </w:rPr>
        <w:t>鄠邑区吕公路与宏桥路十字东北角</w:t>
      </w:r>
    </w:p>
    <w:p w14:paraId="48D9961F">
      <w:pPr>
        <w:numPr>
          <w:ilvl w:val="1"/>
          <w:numId w:val="1"/>
        </w:num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服务期限：</w:t>
      </w:r>
      <w:r>
        <w:rPr>
          <w:rFonts w:hint="eastAsia"/>
          <w:color w:val="000000" w:themeColor="text1"/>
          <w:sz w:val="24"/>
          <w:u w:val="single"/>
          <w14:textFill>
            <w14:solidFill>
              <w14:schemeClr w14:val="tx1"/>
            </w14:solidFill>
          </w14:textFill>
        </w:rPr>
        <w:t>服务期为一年，在项目服务到期前，按照当年下达的政府采购预算金额，对供应商服务质量进行综合评定，评定结果为满足服务要求的与原供应商续签一年合同。</w:t>
      </w:r>
    </w:p>
    <w:p w14:paraId="4D961ECD">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组成本合同的文件：</w:t>
      </w:r>
    </w:p>
    <w:p w14:paraId="5707A13D">
      <w:pPr>
        <w:numPr>
          <w:ilvl w:val="1"/>
          <w:numId w:val="1"/>
        </w:numPr>
        <w:spacing w:line="360" w:lineRule="auto"/>
        <w:ind w:firstLine="420" w:firstLineChars="175"/>
        <w:rPr>
          <w:color w:val="000000" w:themeColor="text1"/>
          <w:sz w:val="24"/>
          <w14:textFill>
            <w14:solidFill>
              <w14:schemeClr w14:val="tx1"/>
            </w14:solidFill>
          </w14:textFill>
        </w:rPr>
      </w:pPr>
      <w:r>
        <w:rPr>
          <w:color w:val="000000" w:themeColor="text1"/>
          <w:sz w:val="24"/>
          <w14:textFill>
            <w14:solidFill>
              <w14:schemeClr w14:val="tx1"/>
            </w14:solidFill>
          </w14:textFill>
        </w:rPr>
        <w:t>协议书</w:t>
      </w:r>
      <w:r>
        <w:rPr>
          <w:rFonts w:hint="eastAsia"/>
          <w:color w:val="000000" w:themeColor="text1"/>
          <w:sz w:val="24"/>
          <w14:textFill>
            <w14:solidFill>
              <w14:schemeClr w14:val="tx1"/>
            </w14:solidFill>
          </w14:textFill>
        </w:rPr>
        <w:t>；</w:t>
      </w:r>
    </w:p>
    <w:p w14:paraId="1CC65277">
      <w:pPr>
        <w:numPr>
          <w:ilvl w:val="1"/>
          <w:numId w:val="1"/>
        </w:numPr>
        <w:spacing w:line="360" w:lineRule="auto"/>
        <w:ind w:firstLine="420" w:firstLineChars="175"/>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成交</w:t>
      </w:r>
      <w:r>
        <w:rPr>
          <w:color w:val="000000" w:themeColor="text1"/>
          <w:sz w:val="24"/>
          <w14:textFill>
            <w14:solidFill>
              <w14:schemeClr w14:val="tx1"/>
            </w14:solidFill>
          </w14:textFill>
        </w:rPr>
        <w:t>通知书、</w:t>
      </w:r>
      <w:r>
        <w:rPr>
          <w:rFonts w:hint="eastAsia"/>
          <w:color w:val="000000" w:themeColor="text1"/>
          <w:sz w:val="24"/>
          <w14:textFill>
            <w14:solidFill>
              <w14:schemeClr w14:val="tx1"/>
            </w14:solidFill>
          </w14:textFill>
        </w:rPr>
        <w:t>响应</w:t>
      </w:r>
      <w:r>
        <w:rPr>
          <w:color w:val="000000" w:themeColor="text1"/>
          <w:sz w:val="24"/>
          <w14:textFill>
            <w14:solidFill>
              <w14:schemeClr w14:val="tx1"/>
            </w14:solidFill>
          </w14:textFill>
        </w:rPr>
        <w:t>文件、</w:t>
      </w:r>
      <w:r>
        <w:rPr>
          <w:rFonts w:hint="eastAsia"/>
          <w:color w:val="000000" w:themeColor="text1"/>
          <w:sz w:val="24"/>
          <w:lang w:eastAsia="zh-CN"/>
          <w14:textFill>
            <w14:solidFill>
              <w14:schemeClr w14:val="tx1"/>
            </w14:solidFill>
          </w14:textFill>
        </w:rPr>
        <w:t>招标</w:t>
      </w:r>
      <w:r>
        <w:rPr>
          <w:color w:val="000000" w:themeColor="text1"/>
          <w:sz w:val="24"/>
          <w14:textFill>
            <w14:solidFill>
              <w14:schemeClr w14:val="tx1"/>
            </w14:solidFill>
          </w14:textFill>
        </w:rPr>
        <w:t>文件、澄清、</w:t>
      </w:r>
      <w:r>
        <w:rPr>
          <w:rFonts w:hint="eastAsia"/>
          <w:color w:val="000000" w:themeColor="text1"/>
          <w:sz w:val="24"/>
          <w:lang w:eastAsia="zh-CN"/>
          <w14:textFill>
            <w14:solidFill>
              <w14:schemeClr w14:val="tx1"/>
            </w14:solidFill>
          </w14:textFill>
        </w:rPr>
        <w:t>招标</w:t>
      </w:r>
      <w:r>
        <w:rPr>
          <w:color w:val="000000" w:themeColor="text1"/>
          <w:sz w:val="24"/>
          <w14:textFill>
            <w14:solidFill>
              <w14:schemeClr w14:val="tx1"/>
            </w14:solidFill>
          </w14:textFill>
        </w:rPr>
        <w:t>补充文件</w:t>
      </w:r>
      <w:r>
        <w:rPr>
          <w:rFonts w:hint="eastAsia"/>
          <w:color w:val="000000" w:themeColor="text1"/>
          <w:sz w:val="24"/>
          <w14:textFill>
            <w14:solidFill>
              <w14:schemeClr w14:val="tx1"/>
            </w14:solidFill>
          </w14:textFill>
        </w:rPr>
        <w:t>；</w:t>
      </w:r>
    </w:p>
    <w:p w14:paraId="7375D074">
      <w:pPr>
        <w:numPr>
          <w:ilvl w:val="1"/>
          <w:numId w:val="1"/>
        </w:numPr>
        <w:spacing w:line="360" w:lineRule="auto"/>
        <w:ind w:firstLine="420" w:firstLineChars="175"/>
        <w:rPr>
          <w:color w:val="000000" w:themeColor="text1"/>
          <w:sz w:val="24"/>
          <w14:textFill>
            <w14:solidFill>
              <w14:schemeClr w14:val="tx1"/>
            </w14:solidFill>
          </w14:textFill>
        </w:rPr>
      </w:pPr>
      <w:r>
        <w:rPr>
          <w:color w:val="000000" w:themeColor="text1"/>
          <w:sz w:val="24"/>
          <w14:textFill>
            <w14:solidFill>
              <w14:schemeClr w14:val="tx1"/>
            </w14:solidFill>
          </w14:textFill>
        </w:rPr>
        <w:t>相关服务建议书</w:t>
      </w:r>
      <w:r>
        <w:rPr>
          <w:rFonts w:hint="eastAsia"/>
          <w:color w:val="000000" w:themeColor="text1"/>
          <w:sz w:val="24"/>
          <w14:textFill>
            <w14:solidFill>
              <w14:schemeClr w14:val="tx1"/>
            </w14:solidFill>
          </w14:textFill>
        </w:rPr>
        <w:t>；</w:t>
      </w:r>
    </w:p>
    <w:p w14:paraId="5E1F91DB">
      <w:pPr>
        <w:numPr>
          <w:ilvl w:val="1"/>
          <w:numId w:val="1"/>
        </w:numPr>
        <w:spacing w:line="360" w:lineRule="auto"/>
        <w:ind w:firstLine="420" w:firstLineChars="175"/>
        <w:rPr>
          <w:color w:val="000000" w:themeColor="text1"/>
          <w:sz w:val="24"/>
          <w14:textFill>
            <w14:solidFill>
              <w14:schemeClr w14:val="tx1"/>
            </w14:solidFill>
          </w14:textFill>
        </w:rPr>
      </w:pPr>
      <w:r>
        <w:rPr>
          <w:color w:val="000000" w:themeColor="text1"/>
          <w:sz w:val="24"/>
          <w14:textFill>
            <w14:solidFill>
              <w14:schemeClr w14:val="tx1"/>
            </w14:solidFill>
          </w14:textFill>
        </w:rPr>
        <w:t>相关服务的范围和内容</w:t>
      </w:r>
      <w:r>
        <w:rPr>
          <w:rFonts w:hint="eastAsia"/>
          <w:color w:val="000000" w:themeColor="text1"/>
          <w:sz w:val="24"/>
          <w14:textFill>
            <w14:solidFill>
              <w14:schemeClr w14:val="tx1"/>
            </w14:solidFill>
          </w14:textFill>
        </w:rPr>
        <w:t>；</w:t>
      </w:r>
    </w:p>
    <w:p w14:paraId="2C178072">
      <w:pPr>
        <w:numPr>
          <w:ilvl w:val="1"/>
          <w:numId w:val="1"/>
        </w:numPr>
        <w:spacing w:line="360" w:lineRule="auto"/>
        <w:ind w:firstLine="420" w:firstLineChars="175"/>
        <w:rPr>
          <w:color w:val="000000" w:themeColor="text1"/>
          <w:sz w:val="24"/>
          <w14:textFill>
            <w14:solidFill>
              <w14:schemeClr w14:val="tx1"/>
            </w14:solidFill>
          </w14:textFill>
        </w:rPr>
      </w:pPr>
      <w:r>
        <w:rPr>
          <w:color w:val="000000" w:themeColor="text1"/>
          <w:sz w:val="24"/>
          <w14:textFill>
            <w14:solidFill>
              <w14:schemeClr w14:val="tx1"/>
            </w14:solidFill>
          </w14:textFill>
        </w:rPr>
        <w:t>本合同签订后，双方依法签订的补充协议也是本合同文件的组成部分。</w:t>
      </w:r>
    </w:p>
    <w:p w14:paraId="2655EC27">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合同金额</w:t>
      </w:r>
    </w:p>
    <w:p w14:paraId="202FD4F0">
      <w:pPr>
        <w:spacing w:line="360" w:lineRule="auto"/>
        <w:ind w:firstLine="42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合同金额（人民币大写）：</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w:t>
      </w:r>
      <w:r>
        <w:rPr>
          <w:rFonts w:ascii="Arial" w:hAnsi="Arial" w:cs="Arial"/>
          <w:color w:val="000000" w:themeColor="text1"/>
          <w:sz w:val="24"/>
          <w14:textFill>
            <w14:solidFill>
              <w14:schemeClr w14:val="tx1"/>
            </w14:solidFill>
          </w14:textFill>
        </w:rPr>
        <w:t>¥</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元/年）</w:t>
      </w:r>
    </w:p>
    <w:p w14:paraId="4A343310">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结算方式</w:t>
      </w:r>
    </w:p>
    <w:p w14:paraId="53CC105D">
      <w:pPr>
        <w:numPr>
          <w:ilvl w:val="1"/>
          <w:numId w:val="1"/>
        </w:numPr>
        <w:spacing w:line="360" w:lineRule="auto"/>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付款方式：</w:t>
      </w:r>
      <w:r>
        <w:rPr>
          <w:rFonts w:hint="eastAsia"/>
          <w:color w:val="000000" w:themeColor="text1"/>
          <w:sz w:val="24"/>
          <w:u w:val="single"/>
          <w14:textFill>
            <w14:solidFill>
              <w14:schemeClr w14:val="tx1"/>
            </w14:solidFill>
          </w14:textFill>
        </w:rPr>
        <w:t>从合同具体执行之日起，每个月的15日前甲方根据考核情况以转账形式支付给乙方上月的物业服务费，乙方应于采购人汇款前7天内开具正式发票给甲方。因考评达不到要求被扣减的物业服务费在当月的物业服务费中予以扣除。</w:t>
      </w:r>
    </w:p>
    <w:p w14:paraId="385028DD">
      <w:pPr>
        <w:numPr>
          <w:ilvl w:val="1"/>
          <w:numId w:val="1"/>
        </w:numPr>
        <w:spacing w:line="360" w:lineRule="auto"/>
        <w:ind w:firstLine="480" w:firstLineChars="200"/>
        <w:rPr>
          <w:b/>
          <w:bCs/>
          <w:color w:val="000000" w:themeColor="text1"/>
          <w:sz w:val="24"/>
          <w14:textFill>
            <w14:solidFill>
              <w14:schemeClr w14:val="tx1"/>
            </w14:solidFill>
          </w14:textFill>
        </w:rPr>
      </w:pPr>
      <w:r>
        <w:rPr>
          <w:color w:val="000000" w:themeColor="text1"/>
          <w:sz w:val="24"/>
          <w:u w:val="single"/>
          <w14:textFill>
            <w14:solidFill>
              <w14:schemeClr w14:val="tx1"/>
            </w14:solidFill>
          </w14:textFill>
        </w:rPr>
        <w:t>其他单位需使用本物业的空闲部位、自用设备和其他特约服务，由其他单位与</w:t>
      </w:r>
      <w:r>
        <w:rPr>
          <w:rFonts w:hint="eastAsia"/>
          <w:color w:val="000000" w:themeColor="text1"/>
          <w:sz w:val="24"/>
          <w:u w:val="single"/>
          <w14:textFill>
            <w14:solidFill>
              <w14:schemeClr w14:val="tx1"/>
            </w14:solidFill>
          </w14:textFill>
        </w:rPr>
        <w:t>甲方</w:t>
      </w:r>
      <w:r>
        <w:rPr>
          <w:color w:val="000000" w:themeColor="text1"/>
          <w:sz w:val="24"/>
          <w:u w:val="single"/>
          <w14:textFill>
            <w14:solidFill>
              <w14:schemeClr w14:val="tx1"/>
            </w14:solidFill>
          </w14:textFill>
        </w:rPr>
        <w:t>协商达成一致意见，所收取的费用由甲方分配</w:t>
      </w:r>
      <w:r>
        <w:rPr>
          <w:rFonts w:hint="eastAsia"/>
          <w:color w:val="000000" w:themeColor="text1"/>
          <w:sz w:val="24"/>
          <w:u w:val="single"/>
          <w14:textFill>
            <w14:solidFill>
              <w14:schemeClr w14:val="tx1"/>
            </w14:solidFill>
          </w14:textFill>
        </w:rPr>
        <w:t>乙方</w:t>
      </w:r>
      <w:r>
        <w:rPr>
          <w:color w:val="000000" w:themeColor="text1"/>
          <w:sz w:val="24"/>
          <w:u w:val="single"/>
          <w14:textFill>
            <w14:solidFill>
              <w14:schemeClr w14:val="tx1"/>
            </w14:solidFill>
          </w14:textFill>
        </w:rPr>
        <w:t>具体操作执行</w:t>
      </w:r>
      <w:r>
        <w:rPr>
          <w:b/>
          <w:bCs/>
          <w:color w:val="000000" w:themeColor="text1"/>
          <w:sz w:val="24"/>
          <w14:textFill>
            <w14:solidFill>
              <w14:schemeClr w14:val="tx1"/>
            </w14:solidFill>
          </w14:textFill>
        </w:rPr>
        <w:t>。</w:t>
      </w:r>
    </w:p>
    <w:p w14:paraId="21C72BB5">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服务内容</w:t>
      </w:r>
    </w:p>
    <w:p w14:paraId="23FC820C">
      <w:pPr>
        <w:spacing w:line="360" w:lineRule="auto"/>
        <w:ind w:firstLine="420"/>
        <w:rPr>
          <w:color w:val="000000" w:themeColor="text1"/>
          <w:sz w:val="24"/>
          <w14:textFill>
            <w14:solidFill>
              <w14:schemeClr w14:val="tx1"/>
            </w14:solidFill>
          </w14:textFill>
        </w:rPr>
      </w:pPr>
      <w:r>
        <w:rPr>
          <w:color w:val="000000" w:themeColor="text1"/>
          <w:sz w:val="24"/>
          <w14:textFill>
            <w14:solidFill>
              <w14:schemeClr w14:val="tx1"/>
            </w14:solidFill>
          </w14:textFill>
        </w:rPr>
        <w:t>主要包含政务大厅公共区域卫生保洁、24小时门岗值班、安全保卫、会议服务、电梯引导服务、出入口安全检查、室内外绿化养护、房屋维护、设施设备日常维修保养</w:t>
      </w:r>
      <w:r>
        <w:rPr>
          <w:rFonts w:hint="eastAsia" w:asciiTheme="minorEastAsia" w:hAnsiTheme="minorEastAsia" w:cstheme="minorEastAsia"/>
          <w:color w:val="000000" w:themeColor="text1"/>
          <w:sz w:val="24"/>
          <w:szCs w:val="24"/>
          <w:lang w:val="en-US" w:eastAsia="zh-CN"/>
          <w14:textFill>
            <w14:solidFill>
              <w14:schemeClr w14:val="tx1"/>
            </w14:solidFill>
          </w14:textFill>
        </w:rPr>
        <w:t>（如排水管路维护、</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供电设备监控维护、弱电设备维护、电梯运行维护、空调系统</w:t>
      </w:r>
      <w:r>
        <w:rPr>
          <w:rFonts w:hint="eastAsia" w:asciiTheme="minorEastAsia" w:hAnsiTheme="minorEastAsia" w:cstheme="minorEastAsia"/>
          <w:color w:val="000000" w:themeColor="text1"/>
          <w:sz w:val="24"/>
          <w:szCs w:val="24"/>
          <w:lang w:val="en-US" w:eastAsia="zh-CN"/>
          <w14:textFill>
            <w14:solidFill>
              <w14:schemeClr w14:val="tx1"/>
            </w14:solidFill>
          </w14:textFill>
        </w:rPr>
        <w:t>维护</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、消防系统</w:t>
      </w:r>
      <w:r>
        <w:rPr>
          <w:rFonts w:hint="eastAsia" w:asciiTheme="minorEastAsia" w:hAnsiTheme="minorEastAsia" w:cstheme="minorEastAsia"/>
          <w:color w:val="000000" w:themeColor="text1"/>
          <w:sz w:val="24"/>
          <w:szCs w:val="24"/>
          <w:lang w:val="en-US" w:eastAsia="zh-CN"/>
          <w14:textFill>
            <w14:solidFill>
              <w14:schemeClr w14:val="tx1"/>
            </w14:solidFill>
          </w14:textFill>
        </w:rPr>
        <w:t>管理维护</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w:t>
      </w:r>
      <w:r>
        <w:rPr>
          <w:color w:val="000000" w:themeColor="text1"/>
          <w:sz w:val="24"/>
          <w14:textFill>
            <w14:solidFill>
              <w14:schemeClr w14:val="tx1"/>
            </w14:solidFill>
          </w14:textFill>
        </w:rPr>
        <w:t>、秩序维护、水电故障基础维修等。</w:t>
      </w:r>
    </w:p>
    <w:p w14:paraId="44757210">
      <w:pPr>
        <w:spacing w:line="360" w:lineRule="auto"/>
        <w:ind w:firstLine="420"/>
        <w:rPr>
          <w:color w:val="000000" w:themeColor="text1"/>
          <w:sz w:val="24"/>
          <w14:textFill>
            <w14:solidFill>
              <w14:schemeClr w14:val="tx1"/>
            </w14:solidFill>
          </w14:textFill>
        </w:rPr>
      </w:pPr>
      <w:r>
        <w:rPr>
          <w:color w:val="000000" w:themeColor="text1"/>
          <w:sz w:val="24"/>
          <w14:textFill>
            <w14:solidFill>
              <w14:schemeClr w14:val="tx1"/>
            </w14:solidFill>
          </w14:textFill>
        </w:rPr>
        <w:t>1）在物业管理范围内如走道、卫生间及卫生间内设备开水器的水管连接配件、开水台修理，电梯轿厢、办公室会议室、配电间照明灯具等如需维修更换，乙方制定维修更换方案，经甲方审核确认后实施，所需费用由</w:t>
      </w:r>
      <w:r>
        <w:rPr>
          <w:rFonts w:hint="eastAsia"/>
          <w:color w:val="000000" w:themeColor="text1"/>
          <w:sz w:val="24"/>
          <w:u w:val="single"/>
          <w14:textFill>
            <w14:solidFill>
              <w14:schemeClr w14:val="tx1"/>
            </w14:solidFill>
          </w14:textFill>
        </w:rPr>
        <w:t>甲方</w:t>
      </w:r>
      <w:r>
        <w:rPr>
          <w:color w:val="000000" w:themeColor="text1"/>
          <w:sz w:val="24"/>
          <w14:textFill>
            <w14:solidFill>
              <w14:schemeClr w14:val="tx1"/>
            </w14:solidFill>
          </w14:textFill>
        </w:rPr>
        <w:t>承担。</w:t>
      </w:r>
    </w:p>
    <w:p w14:paraId="6110D994">
      <w:pPr>
        <w:spacing w:line="360" w:lineRule="auto"/>
        <w:ind w:firstLine="420"/>
        <w:rPr>
          <w:color w:val="000000" w:themeColor="text1"/>
          <w:sz w:val="24"/>
          <w14:textFill>
            <w14:solidFill>
              <w14:schemeClr w14:val="tx1"/>
            </w14:solidFill>
          </w14:textFill>
        </w:rPr>
      </w:pPr>
      <w:r>
        <w:rPr>
          <w:color w:val="000000" w:themeColor="text1"/>
          <w:sz w:val="24"/>
          <w14:textFill>
            <w14:solidFill>
              <w14:schemeClr w14:val="tx1"/>
            </w14:solidFill>
          </w14:textFill>
        </w:rPr>
        <w:t>2）电梯、中央空调、消防控制系统、监控等设施设备由</w:t>
      </w:r>
      <w:r>
        <w:rPr>
          <w:rFonts w:hint="eastAsia"/>
          <w:color w:val="000000" w:themeColor="text1"/>
          <w:sz w:val="24"/>
          <w:u w:val="single"/>
          <w14:textFill>
            <w14:solidFill>
              <w14:schemeClr w14:val="tx1"/>
            </w14:solidFill>
          </w14:textFill>
        </w:rPr>
        <w:t>乙方</w:t>
      </w:r>
      <w:r>
        <w:rPr>
          <w:color w:val="000000" w:themeColor="text1"/>
          <w:sz w:val="24"/>
          <w14:textFill>
            <w14:solidFill>
              <w14:schemeClr w14:val="tx1"/>
            </w14:solidFill>
          </w14:textFill>
        </w:rPr>
        <w:t>进行日常巡检和管理维护（电梯维护、消防系统需由持证人员操作，符合专项管理要求），严格依照各设备说明书规定时间和操作规程进行定期检修，使机械设施始终保持最佳运行状态，主动排查并消除设备在运行过程中可能出现的各类事故隐患，提前防范安全风险。针对设备因停电、机械故障或其他突发情况导致的停运问题，及时响应并进行紧急处理，快速恢复设备正常运行。建立并妥善保管设备全生命周期的日常运行记录，每次检修记录，定期保养记录等，确保所有操作与维护情况可追溯、可核查。</w:t>
      </w:r>
    </w:p>
    <w:p w14:paraId="320D6C50">
      <w:pPr>
        <w:spacing w:line="360" w:lineRule="auto"/>
        <w:ind w:firstLine="420"/>
        <w:rPr>
          <w:color w:val="000000" w:themeColor="text1"/>
          <w:sz w:val="24"/>
          <w14:textFill>
            <w14:solidFill>
              <w14:schemeClr w14:val="tx1"/>
            </w14:solidFill>
          </w14:textFill>
        </w:rPr>
      </w:pPr>
      <w:r>
        <w:rPr>
          <w:color w:val="000000" w:themeColor="text1"/>
          <w:sz w:val="24"/>
          <w14:textFill>
            <w14:solidFill>
              <w14:schemeClr w14:val="tx1"/>
            </w14:solidFill>
          </w14:textFill>
        </w:rPr>
        <w:t>3）其他需要专业维修的设施设备，</w:t>
      </w:r>
      <w:r>
        <w:rPr>
          <w:rFonts w:hint="eastAsia"/>
          <w:color w:val="000000" w:themeColor="text1"/>
          <w:sz w:val="24"/>
          <w:u w:val="single"/>
          <w14:textFill>
            <w14:solidFill>
              <w14:schemeClr w14:val="tx1"/>
            </w14:solidFill>
          </w14:textFill>
        </w:rPr>
        <w:t>乙方</w:t>
      </w:r>
      <w:r>
        <w:rPr>
          <w:color w:val="000000" w:themeColor="text1"/>
          <w:sz w:val="24"/>
          <w14:textFill>
            <w14:solidFill>
              <w14:schemeClr w14:val="tx1"/>
            </w14:solidFill>
          </w14:textFill>
        </w:rPr>
        <w:t>负责使用管理和简单保养，</w:t>
      </w:r>
      <w:r>
        <w:rPr>
          <w:rFonts w:hint="eastAsia"/>
          <w:color w:val="000000" w:themeColor="text1"/>
          <w:sz w:val="24"/>
          <w:u w:val="single"/>
          <w14:textFill>
            <w14:solidFill>
              <w14:schemeClr w14:val="tx1"/>
            </w14:solidFill>
          </w14:textFill>
        </w:rPr>
        <w:t>甲方</w:t>
      </w:r>
      <w:r>
        <w:rPr>
          <w:color w:val="000000" w:themeColor="text1"/>
          <w:sz w:val="24"/>
          <w14:textFill>
            <w14:solidFill>
              <w14:schemeClr w14:val="tx1"/>
            </w14:solidFill>
          </w14:textFill>
        </w:rPr>
        <w:t>负责外聘人员进行维修保障。</w:t>
      </w:r>
    </w:p>
    <w:p w14:paraId="54537943">
      <w:pPr>
        <w:spacing w:line="360" w:lineRule="auto"/>
        <w:ind w:firstLine="420"/>
        <w:rPr>
          <w:color w:val="000000" w:themeColor="text1"/>
          <w:sz w:val="24"/>
          <w14:textFill>
            <w14:solidFill>
              <w14:schemeClr w14:val="tx1"/>
            </w14:solidFill>
          </w14:textFill>
        </w:rPr>
      </w:pPr>
      <w:r>
        <w:rPr>
          <w:color w:val="000000" w:themeColor="text1"/>
          <w:sz w:val="24"/>
          <w14:textFill>
            <w14:solidFill>
              <w14:schemeClr w14:val="tx1"/>
            </w14:solidFill>
          </w14:textFill>
        </w:rPr>
        <w:t>4）因房屋建筑质量、设备设施质量或安装技术等原因，达不到使用功能等问题，由</w:t>
      </w:r>
      <w:r>
        <w:rPr>
          <w:rFonts w:hint="eastAsia"/>
          <w:color w:val="000000" w:themeColor="text1"/>
          <w:sz w:val="24"/>
          <w:u w:val="single"/>
          <w14:textFill>
            <w14:solidFill>
              <w14:schemeClr w14:val="tx1"/>
            </w14:solidFill>
          </w14:textFill>
        </w:rPr>
        <w:t>甲方</w:t>
      </w:r>
      <w:r>
        <w:rPr>
          <w:color w:val="000000" w:themeColor="text1"/>
          <w:sz w:val="24"/>
          <w14:textFill>
            <w14:solidFill>
              <w14:schemeClr w14:val="tx1"/>
            </w14:solidFill>
          </w14:textFill>
        </w:rPr>
        <w:t>负责协调处理。设备设施由于</w:t>
      </w:r>
      <w:r>
        <w:rPr>
          <w:rFonts w:hint="eastAsia"/>
          <w:color w:val="000000" w:themeColor="text1"/>
          <w:sz w:val="24"/>
          <w:u w:val="single"/>
          <w14:textFill>
            <w14:solidFill>
              <w14:schemeClr w14:val="tx1"/>
            </w14:solidFill>
          </w14:textFill>
        </w:rPr>
        <w:t>乙方</w:t>
      </w:r>
      <w:r>
        <w:rPr>
          <w:color w:val="000000" w:themeColor="text1"/>
          <w:sz w:val="24"/>
          <w14:textFill>
            <w14:solidFill>
              <w14:schemeClr w14:val="tx1"/>
            </w14:solidFill>
          </w14:textFill>
        </w:rPr>
        <w:t>使用不当，造成损坏的，维修费由</w:t>
      </w:r>
      <w:r>
        <w:rPr>
          <w:rFonts w:hint="eastAsia"/>
          <w:color w:val="000000" w:themeColor="text1"/>
          <w:sz w:val="24"/>
          <w:u w:val="single"/>
          <w14:textFill>
            <w14:solidFill>
              <w14:schemeClr w14:val="tx1"/>
            </w14:solidFill>
          </w14:textFill>
        </w:rPr>
        <w:t>乙方</w:t>
      </w:r>
      <w:r>
        <w:rPr>
          <w:color w:val="000000" w:themeColor="text1"/>
          <w:sz w:val="24"/>
          <w14:textFill>
            <w14:solidFill>
              <w14:schemeClr w14:val="tx1"/>
            </w14:solidFill>
          </w14:textFill>
        </w:rPr>
        <w:t>承担。</w:t>
      </w:r>
    </w:p>
    <w:p w14:paraId="3FED4565">
      <w:pPr>
        <w:spacing w:line="360" w:lineRule="auto"/>
        <w:ind w:firstLine="420"/>
        <w:rPr>
          <w:color w:val="000000" w:themeColor="text1"/>
          <w:sz w:val="24"/>
          <w14:textFill>
            <w14:solidFill>
              <w14:schemeClr w14:val="tx1"/>
            </w14:solidFill>
          </w14:textFill>
        </w:rPr>
      </w:pPr>
      <w:r>
        <w:rPr>
          <w:color w:val="000000" w:themeColor="text1"/>
          <w:sz w:val="24"/>
          <w14:textFill>
            <w14:solidFill>
              <w14:schemeClr w14:val="tx1"/>
            </w14:solidFill>
          </w14:textFill>
        </w:rPr>
        <w:t>5）外墙、水池的清洗、消毒费用由</w:t>
      </w:r>
      <w:r>
        <w:rPr>
          <w:rFonts w:hint="eastAsia"/>
          <w:color w:val="000000" w:themeColor="text1"/>
          <w:sz w:val="24"/>
          <w:u w:val="single"/>
          <w14:textFill>
            <w14:solidFill>
              <w14:schemeClr w14:val="tx1"/>
            </w14:solidFill>
          </w14:textFill>
        </w:rPr>
        <w:t>甲方</w:t>
      </w:r>
      <w:r>
        <w:rPr>
          <w:color w:val="000000" w:themeColor="text1"/>
          <w:sz w:val="24"/>
          <w14:textFill>
            <w14:solidFill>
              <w14:schemeClr w14:val="tx1"/>
            </w14:solidFill>
          </w14:textFill>
        </w:rPr>
        <w:t>负责。</w:t>
      </w:r>
      <w:r>
        <w:rPr>
          <w:rFonts w:hint="eastAsia"/>
          <w:color w:val="000000" w:themeColor="text1"/>
          <w:sz w:val="24"/>
          <w:u w:val="single"/>
          <w14:textFill>
            <w14:solidFill>
              <w14:schemeClr w14:val="tx1"/>
            </w14:solidFill>
          </w14:textFill>
        </w:rPr>
        <w:t>乙方</w:t>
      </w:r>
      <w:r>
        <w:rPr>
          <w:color w:val="000000" w:themeColor="text1"/>
          <w:sz w:val="24"/>
          <w14:textFill>
            <w14:solidFill>
              <w14:schemeClr w14:val="tx1"/>
            </w14:solidFill>
          </w14:textFill>
        </w:rPr>
        <w:t>应承担卫生保洁费用（包括消毒剂、清洁剂、大厅、电梯间地板保护、清洁小工具等）；公共卫生消耗品（公共卫生纸、洗手液、纸杯等）由</w:t>
      </w:r>
      <w:r>
        <w:rPr>
          <w:rFonts w:hint="eastAsia"/>
          <w:color w:val="000000" w:themeColor="text1"/>
          <w:sz w:val="24"/>
          <w:u w:val="single"/>
          <w14:textFill>
            <w14:solidFill>
              <w14:schemeClr w14:val="tx1"/>
            </w14:solidFill>
          </w14:textFill>
        </w:rPr>
        <w:t>乙方</w:t>
      </w:r>
      <w:r>
        <w:rPr>
          <w:color w:val="000000" w:themeColor="text1"/>
          <w:sz w:val="24"/>
          <w14:textFill>
            <w14:solidFill>
              <w14:schemeClr w14:val="tx1"/>
            </w14:solidFill>
          </w14:textFill>
        </w:rPr>
        <w:t>向</w:t>
      </w:r>
      <w:r>
        <w:rPr>
          <w:rFonts w:hint="eastAsia"/>
          <w:color w:val="000000" w:themeColor="text1"/>
          <w:sz w:val="24"/>
          <w:u w:val="single"/>
          <w14:textFill>
            <w14:solidFill>
              <w14:schemeClr w14:val="tx1"/>
            </w14:solidFill>
          </w14:textFill>
        </w:rPr>
        <w:t>甲方</w:t>
      </w:r>
      <w:r>
        <w:rPr>
          <w:color w:val="000000" w:themeColor="text1"/>
          <w:sz w:val="24"/>
          <w14:textFill>
            <w14:solidFill>
              <w14:schemeClr w14:val="tx1"/>
            </w14:solidFill>
          </w14:textFill>
        </w:rPr>
        <w:t>实报实销或领取实物。</w:t>
      </w:r>
    </w:p>
    <w:p w14:paraId="374EFBA6">
      <w:pPr>
        <w:spacing w:line="360" w:lineRule="auto"/>
        <w:ind w:firstLine="420"/>
        <w:rPr>
          <w:color w:val="000000" w:themeColor="text1"/>
          <w:sz w:val="24"/>
          <w14:textFill>
            <w14:solidFill>
              <w14:schemeClr w14:val="tx1"/>
            </w14:solidFill>
          </w14:textFill>
        </w:rPr>
      </w:pPr>
      <w:r>
        <w:rPr>
          <w:color w:val="000000" w:themeColor="text1"/>
          <w:sz w:val="24"/>
          <w14:textFill>
            <w14:solidFill>
              <w14:schemeClr w14:val="tx1"/>
            </w14:solidFill>
          </w14:textFill>
        </w:rPr>
        <w:t>6）大楼室外绿地、树木、花草和室内花草、盆景的日常养护工作由</w:t>
      </w:r>
      <w:r>
        <w:rPr>
          <w:rFonts w:hint="eastAsia"/>
          <w:color w:val="000000" w:themeColor="text1"/>
          <w:sz w:val="24"/>
          <w:u w:val="single"/>
          <w14:textFill>
            <w14:solidFill>
              <w14:schemeClr w14:val="tx1"/>
            </w14:solidFill>
          </w14:textFill>
        </w:rPr>
        <w:t>乙方</w:t>
      </w:r>
      <w:r>
        <w:rPr>
          <w:color w:val="000000" w:themeColor="text1"/>
          <w:sz w:val="24"/>
          <w14:textFill>
            <w14:solidFill>
              <w14:schemeClr w14:val="tx1"/>
            </w14:solidFill>
          </w14:textFill>
        </w:rPr>
        <w:t>负责，如产生绿化改造及养护费用由</w:t>
      </w:r>
      <w:r>
        <w:rPr>
          <w:rFonts w:hint="eastAsia"/>
          <w:color w:val="000000" w:themeColor="text1"/>
          <w:sz w:val="24"/>
          <w:u w:val="single"/>
          <w14:textFill>
            <w14:solidFill>
              <w14:schemeClr w14:val="tx1"/>
            </w14:solidFill>
          </w14:textFill>
        </w:rPr>
        <w:t>甲方</w:t>
      </w:r>
      <w:r>
        <w:rPr>
          <w:color w:val="000000" w:themeColor="text1"/>
          <w:sz w:val="24"/>
          <w14:textFill>
            <w14:solidFill>
              <w14:schemeClr w14:val="tx1"/>
            </w14:solidFill>
          </w14:textFill>
        </w:rPr>
        <w:t>承担。</w:t>
      </w:r>
    </w:p>
    <w:p w14:paraId="4A6059B2">
      <w:pPr>
        <w:spacing w:line="360" w:lineRule="auto"/>
        <w:ind w:firstLine="420"/>
        <w:rPr>
          <w:color w:val="000000" w:themeColor="text1"/>
          <w:sz w:val="24"/>
          <w14:textFill>
            <w14:solidFill>
              <w14:schemeClr w14:val="tx1"/>
            </w14:solidFill>
          </w14:textFill>
        </w:rPr>
      </w:pPr>
      <w:r>
        <w:rPr>
          <w:color w:val="000000" w:themeColor="text1"/>
          <w:sz w:val="24"/>
          <w14:textFill>
            <w14:solidFill>
              <w14:schemeClr w14:val="tx1"/>
            </w14:solidFill>
          </w14:textFill>
        </w:rPr>
        <w:t>7）本项目如增加其他临时性工作或重大活动保障任务、需要长期或临时增加人员，</w:t>
      </w:r>
      <w:r>
        <w:rPr>
          <w:rFonts w:hint="eastAsia"/>
          <w:color w:val="000000" w:themeColor="text1"/>
          <w:sz w:val="24"/>
          <w:u w:val="single"/>
          <w14:textFill>
            <w14:solidFill>
              <w14:schemeClr w14:val="tx1"/>
            </w14:solidFill>
          </w14:textFill>
        </w:rPr>
        <w:t>甲方</w:t>
      </w:r>
      <w:r>
        <w:rPr>
          <w:color w:val="000000" w:themeColor="text1"/>
          <w:sz w:val="24"/>
          <w14:textFill>
            <w14:solidFill>
              <w14:schemeClr w14:val="tx1"/>
            </w14:solidFill>
          </w14:textFill>
        </w:rPr>
        <w:t>需提前通知乙方进行配合，所需费用双方协商解决，一事一议。</w:t>
      </w:r>
    </w:p>
    <w:p w14:paraId="35BFB291">
      <w:pPr>
        <w:numPr>
          <w:ilvl w:val="0"/>
          <w:numId w:val="1"/>
        </w:numPr>
        <w:spacing w:line="360" w:lineRule="auto"/>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技术要求</w:t>
      </w:r>
    </w:p>
    <w:p w14:paraId="08095261">
      <w:pPr>
        <w:numPr>
          <w:ilvl w:val="1"/>
          <w:numId w:val="1"/>
        </w:numPr>
        <w:spacing w:line="360" w:lineRule="auto"/>
        <w:ind w:firstLine="420" w:firstLineChars="175"/>
        <w:rPr>
          <w:color w:val="000000" w:themeColor="text1"/>
          <w:sz w:val="24"/>
          <w14:textFill>
            <w14:solidFill>
              <w14:schemeClr w14:val="tx1"/>
            </w14:solidFill>
          </w14:textFill>
        </w:rPr>
      </w:pPr>
      <w:r>
        <w:rPr>
          <w:color w:val="000000" w:themeColor="text1"/>
          <w:sz w:val="24"/>
          <w14:textFill>
            <w14:solidFill>
              <w14:schemeClr w14:val="tx1"/>
            </w14:solidFill>
          </w14:textFill>
        </w:rPr>
        <w:t>大楼外观:完好、整洁、无损坏；</w:t>
      </w:r>
    </w:p>
    <w:p w14:paraId="63A68C49">
      <w:pPr>
        <w:numPr>
          <w:ilvl w:val="1"/>
          <w:numId w:val="1"/>
        </w:numPr>
        <w:spacing w:line="360" w:lineRule="auto"/>
        <w:ind w:firstLine="420" w:firstLineChars="175"/>
        <w:rPr>
          <w:color w:val="000000" w:themeColor="text1"/>
          <w:sz w:val="24"/>
          <w14:textFill>
            <w14:solidFill>
              <w14:schemeClr w14:val="tx1"/>
            </w14:solidFill>
          </w14:textFill>
        </w:rPr>
      </w:pPr>
      <w:r>
        <w:rPr>
          <w:color w:val="000000" w:themeColor="text1"/>
          <w:sz w:val="24"/>
          <w14:textFill>
            <w14:solidFill>
              <w14:schemeClr w14:val="tx1"/>
            </w14:solidFill>
          </w14:textFill>
        </w:rPr>
        <w:t>设备运行：公用机电、供水设备实行24小时运行监控；</w:t>
      </w:r>
    </w:p>
    <w:p w14:paraId="5E42AC52">
      <w:pPr>
        <w:numPr>
          <w:ilvl w:val="1"/>
          <w:numId w:val="1"/>
        </w:numPr>
        <w:spacing w:line="360" w:lineRule="auto"/>
        <w:ind w:firstLine="420" w:firstLineChars="175"/>
        <w:rPr>
          <w:color w:val="000000" w:themeColor="text1"/>
          <w:sz w:val="24"/>
          <w14:textFill>
            <w14:solidFill>
              <w14:schemeClr w14:val="tx1"/>
            </w14:solidFill>
          </w14:textFill>
        </w:rPr>
      </w:pPr>
      <w:r>
        <w:rPr>
          <w:color w:val="000000" w:themeColor="text1"/>
          <w:sz w:val="24"/>
          <w14:textFill>
            <w14:solidFill>
              <w14:schemeClr w14:val="tx1"/>
            </w14:solidFill>
          </w14:textFill>
        </w:rPr>
        <w:t>大楼设施设备的维修、养护：确保能正常运行，完好使用率达99%；</w:t>
      </w:r>
    </w:p>
    <w:p w14:paraId="14B33027">
      <w:pPr>
        <w:numPr>
          <w:ilvl w:val="1"/>
          <w:numId w:val="1"/>
        </w:numPr>
        <w:spacing w:line="360" w:lineRule="auto"/>
        <w:ind w:firstLine="420" w:firstLineChars="175"/>
        <w:rPr>
          <w:color w:val="000000" w:themeColor="text1"/>
          <w:sz w:val="24"/>
          <w14:textFill>
            <w14:solidFill>
              <w14:schemeClr w14:val="tx1"/>
            </w14:solidFill>
          </w14:textFill>
        </w:rPr>
      </w:pPr>
      <w:r>
        <w:rPr>
          <w:color w:val="000000" w:themeColor="text1"/>
          <w:sz w:val="24"/>
          <w14:textFill>
            <w14:solidFill>
              <w14:schemeClr w14:val="tx1"/>
            </w14:solidFill>
          </w14:textFill>
        </w:rPr>
        <w:t>公共环境：完好、美观、整洁；</w:t>
      </w:r>
    </w:p>
    <w:p w14:paraId="369AA201">
      <w:pPr>
        <w:numPr>
          <w:ilvl w:val="1"/>
          <w:numId w:val="1"/>
        </w:numPr>
        <w:spacing w:line="360" w:lineRule="auto"/>
        <w:ind w:firstLine="420" w:firstLineChars="175"/>
        <w:rPr>
          <w:color w:val="000000" w:themeColor="text1"/>
          <w:sz w:val="24"/>
          <w14:textFill>
            <w14:solidFill>
              <w14:schemeClr w14:val="tx1"/>
            </w14:solidFill>
          </w14:textFill>
        </w:rPr>
      </w:pPr>
      <w:r>
        <w:rPr>
          <w:color w:val="000000" w:themeColor="text1"/>
          <w:sz w:val="24"/>
          <w14:textFill>
            <w14:solidFill>
              <w14:schemeClr w14:val="tx1"/>
            </w14:solidFill>
          </w14:textFill>
        </w:rPr>
        <w:t>绿化：公共绿地无杂草、无破坏、无践踏、无黄土裸露现象，绿化完好率99%；</w:t>
      </w:r>
    </w:p>
    <w:p w14:paraId="12AAA4C1">
      <w:pPr>
        <w:numPr>
          <w:ilvl w:val="1"/>
          <w:numId w:val="1"/>
        </w:numPr>
        <w:spacing w:line="360" w:lineRule="auto"/>
        <w:ind w:firstLine="420" w:firstLineChars="175"/>
        <w:rPr>
          <w:color w:val="000000" w:themeColor="text1"/>
          <w:sz w:val="24"/>
          <w14:textFill>
            <w14:solidFill>
              <w14:schemeClr w14:val="tx1"/>
            </w14:solidFill>
          </w14:textFill>
        </w:rPr>
      </w:pPr>
      <w:r>
        <w:rPr>
          <w:color w:val="000000" w:themeColor="text1"/>
          <w:sz w:val="24"/>
          <w14:textFill>
            <w14:solidFill>
              <w14:schemeClr w14:val="tx1"/>
            </w14:solidFill>
          </w14:textFill>
        </w:rPr>
        <w:t>交通秩序：停车场的车辆停放整齐，车辆行驶畅通无阻，停车场的完好率达99%；</w:t>
      </w:r>
    </w:p>
    <w:p w14:paraId="76383484">
      <w:pPr>
        <w:numPr>
          <w:ilvl w:val="1"/>
          <w:numId w:val="1"/>
        </w:numPr>
        <w:spacing w:line="360" w:lineRule="auto"/>
        <w:ind w:firstLine="420" w:firstLineChars="175"/>
        <w:rPr>
          <w:color w:val="000000" w:themeColor="text1"/>
          <w:sz w:val="24"/>
          <w14:textFill>
            <w14:solidFill>
              <w14:schemeClr w14:val="tx1"/>
            </w14:solidFill>
          </w14:textFill>
        </w:rPr>
      </w:pPr>
      <w:r>
        <w:rPr>
          <w:color w:val="000000" w:themeColor="text1"/>
          <w:sz w:val="24"/>
          <w14:textFill>
            <w14:solidFill>
              <w14:schemeClr w14:val="tx1"/>
            </w14:solidFill>
          </w14:textFill>
        </w:rPr>
        <w:t>安保：根据甲方规定的时间做好安全保卫工作，确保服务范围内所有人身财产的安全。</w:t>
      </w:r>
    </w:p>
    <w:p w14:paraId="789F245C">
      <w:pPr>
        <w:numPr>
          <w:ilvl w:val="0"/>
          <w:numId w:val="1"/>
        </w:numPr>
        <w:spacing w:line="360" w:lineRule="auto"/>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服务要求</w:t>
      </w:r>
    </w:p>
    <w:p w14:paraId="7B5D1271">
      <w:pPr>
        <w:numPr>
          <w:ilvl w:val="1"/>
          <w:numId w:val="1"/>
        </w:num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u w:val="single"/>
          <w14:textFill>
            <w14:solidFill>
              <w14:schemeClr w14:val="tx1"/>
            </w14:solidFill>
          </w14:textFill>
        </w:rPr>
        <w:t>乙方</w:t>
      </w:r>
      <w:r>
        <w:rPr>
          <w:color w:val="000000" w:themeColor="text1"/>
          <w:sz w:val="24"/>
          <w14:textFill>
            <w14:solidFill>
              <w14:schemeClr w14:val="tx1"/>
            </w14:solidFill>
          </w14:textFill>
        </w:rPr>
        <w:t>应当根据有关法律、法规规定及采购文件要求、采购文件承诺等内容，制订物业管理服务制度，并由</w:t>
      </w:r>
      <w:r>
        <w:rPr>
          <w:rFonts w:hint="eastAsia"/>
          <w:color w:val="000000" w:themeColor="text1"/>
          <w:sz w:val="24"/>
          <w:u w:val="single"/>
          <w14:textFill>
            <w14:solidFill>
              <w14:schemeClr w14:val="tx1"/>
            </w14:solidFill>
          </w14:textFill>
        </w:rPr>
        <w:t>甲方</w:t>
      </w:r>
      <w:r>
        <w:rPr>
          <w:color w:val="000000" w:themeColor="text1"/>
          <w:sz w:val="24"/>
          <w14:textFill>
            <w14:solidFill>
              <w14:schemeClr w14:val="tx1"/>
            </w14:solidFill>
          </w14:textFill>
        </w:rPr>
        <w:t>审定；</w:t>
      </w:r>
      <w:r>
        <w:rPr>
          <w:rFonts w:hint="eastAsia"/>
          <w:color w:val="000000" w:themeColor="text1"/>
          <w:sz w:val="24"/>
          <w:u w:val="single"/>
          <w14:textFill>
            <w14:solidFill>
              <w14:schemeClr w14:val="tx1"/>
            </w14:solidFill>
          </w14:textFill>
        </w:rPr>
        <w:t>乙方</w:t>
      </w:r>
      <w:r>
        <w:rPr>
          <w:color w:val="000000" w:themeColor="text1"/>
          <w:sz w:val="24"/>
          <w14:textFill>
            <w14:solidFill>
              <w14:schemeClr w14:val="tx1"/>
            </w14:solidFill>
          </w14:textFill>
        </w:rPr>
        <w:t>应当维护物业服务区域内的基本秩序，采取合理措施保护采购人的人身、财产安全。对物业服务区域内违反有关治安、环保、消防等法律法规的行为，</w:t>
      </w:r>
      <w:r>
        <w:rPr>
          <w:rFonts w:hint="eastAsia"/>
          <w:color w:val="000000" w:themeColor="text1"/>
          <w:sz w:val="24"/>
          <w:u w:val="single"/>
          <w14:textFill>
            <w14:solidFill>
              <w14:schemeClr w14:val="tx1"/>
            </w14:solidFill>
          </w14:textFill>
        </w:rPr>
        <w:t>乙方</w:t>
      </w:r>
      <w:r>
        <w:rPr>
          <w:color w:val="000000" w:themeColor="text1"/>
          <w:sz w:val="24"/>
          <w14:textFill>
            <w14:solidFill>
              <w14:schemeClr w14:val="tx1"/>
            </w14:solidFill>
          </w14:textFill>
        </w:rPr>
        <w:t>应当及时采取合理措施制止、向有关行政主管部门报告并协助处理。</w:t>
      </w:r>
      <w:r>
        <w:rPr>
          <w:rFonts w:hint="eastAsia"/>
          <w:color w:val="000000" w:themeColor="text1"/>
          <w:sz w:val="24"/>
          <w:u w:val="single"/>
          <w14:textFill>
            <w14:solidFill>
              <w14:schemeClr w14:val="tx1"/>
            </w14:solidFill>
          </w14:textFill>
        </w:rPr>
        <w:t>乙方</w:t>
      </w:r>
      <w:r>
        <w:rPr>
          <w:color w:val="000000" w:themeColor="text1"/>
          <w:sz w:val="24"/>
          <w14:textFill>
            <w14:solidFill>
              <w14:schemeClr w14:val="tx1"/>
            </w14:solidFill>
          </w14:textFill>
        </w:rPr>
        <w:t>所有经营行为必须符合相应的法律、法规要求。</w:t>
      </w:r>
    </w:p>
    <w:p w14:paraId="7FAE6662">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乙方应确保服务期间人员相对稳定，乙方应遵守国家法律法规，与聘用人员签订劳动合同。</w:t>
      </w:r>
    </w:p>
    <w:p w14:paraId="6DCD9447">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乙方保证满足物业管理安全要求，专业人员应满足本项目物业管理具体需要。</w:t>
      </w:r>
    </w:p>
    <w:p w14:paraId="79028648">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乙方应当建立健全的物业管理档案资料。</w:t>
      </w:r>
    </w:p>
    <w:p w14:paraId="104605A8">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乙方应当按照政府及有关部门的行业规定，协助甲方对甲方选聘的专营公司进行监管（如电梯、消防、安防弱电及其他专业项目等）。</w:t>
      </w:r>
    </w:p>
    <w:p w14:paraId="6E8CFDAD">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乙方负责编制物业管理年度管理计划。</w:t>
      </w:r>
    </w:p>
    <w:p w14:paraId="21CBC6DF">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乙方不得擅自占用物业公用设施或改变物业公用设施的使用功能，如需在本物业内改、扩建或完善配套项目，须经甲方书面同意并报有关部门批准后方可实施。</w:t>
      </w:r>
    </w:p>
    <w:p w14:paraId="620726B9">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甲方的权利和义务</w:t>
      </w:r>
    </w:p>
    <w:p w14:paraId="1DABAE58">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审定乙方拟定的物业管理制度</w:t>
      </w:r>
      <w:r>
        <w:rPr>
          <w:rFonts w:hint="eastAsia"/>
          <w:color w:val="000000" w:themeColor="text1"/>
          <w:sz w:val="24"/>
          <w14:textFill>
            <w14:solidFill>
              <w14:schemeClr w14:val="tx1"/>
            </w14:solidFill>
          </w14:textFill>
        </w:rPr>
        <w:t>。</w:t>
      </w:r>
    </w:p>
    <w:p w14:paraId="1CF200B9">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在满足付款条件下按时向乙方支付物业服务费用。</w:t>
      </w:r>
    </w:p>
    <w:p w14:paraId="2C7E02CD">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委托乙方管理的办公楼、设施、设备及附属设施应达到国家验收标准要求，如存在质量问题，由甲方负责返修，或甲方委托乙方返修，甲方支付全部费用。</w:t>
      </w:r>
    </w:p>
    <w:p w14:paraId="13E96ED4">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检查监督乙方物业管理服务工作的实施及制度的执行情况。</w:t>
      </w:r>
    </w:p>
    <w:p w14:paraId="2E1E0CDB">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负责收集、整理物业管理所需全部图纸、档案、资料</w:t>
      </w:r>
      <w:r>
        <w:rPr>
          <w:rFonts w:hint="eastAsia"/>
          <w:color w:val="000000" w:themeColor="text1"/>
          <w:sz w:val="24"/>
          <w14:textFill>
            <w14:solidFill>
              <w14:schemeClr w14:val="tx1"/>
            </w14:solidFill>
          </w14:textFill>
        </w:rPr>
        <w:t>。</w:t>
      </w:r>
    </w:p>
    <w:p w14:paraId="71743576">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协助乙方做好物业管理工作。</w:t>
      </w:r>
    </w:p>
    <w:p w14:paraId="01F059EB">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对于不称职的乙方工作人员，甲方有权要求乙方更换。乙方将拟替换的工作人员名单上报给甲方，在征得甲方书面同意后乙方应作出更换处理。</w:t>
      </w:r>
    </w:p>
    <w:p w14:paraId="10606767">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制定相关物业管理服务工作标准与要求，制定《物业管理服务量化考核评分表》</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并按照考核标准对乙方日常工作进行考核，并按考核情况实施奖惩。</w:t>
      </w:r>
    </w:p>
    <w:p w14:paraId="0EF01F77">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免费提供管理用房给乙方使用，并提供日常清洁、维修物料备料仓库场地</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具体面积按实际需求确定</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w:t>
      </w:r>
    </w:p>
    <w:p w14:paraId="1CA28096">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安排相关人员协调物管日常管理工作，无偿提供水</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电给乙方用于清洁使用。</w:t>
      </w:r>
    </w:p>
    <w:p w14:paraId="1DDC4992">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乙</w:t>
      </w:r>
      <w:r>
        <w:rPr>
          <w:b/>
          <w:bCs/>
          <w:color w:val="000000" w:themeColor="text1"/>
          <w:sz w:val="24"/>
          <w14:textFill>
            <w14:solidFill>
              <w14:schemeClr w14:val="tx1"/>
            </w14:solidFill>
          </w14:textFill>
        </w:rPr>
        <w:t>方的权利和义务</w:t>
      </w:r>
    </w:p>
    <w:p w14:paraId="2D756ADD">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根据有关法律、法规及本合同的约定，制订物业管理服务制度，并由甲方审定</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乙方应当按照合同约定维护物业服务区域内的基本秩序，采取合理措施保护甲方的人身、财产安全。对物业服务区域内违反有关治安、环保、消防等法律法规的行为，乙方应当及时采取合理措施制止、向有关行政主管部门报告并协助处理。乙方所有经营行为必须符合相应的法律、法规要求。</w:t>
      </w:r>
    </w:p>
    <w:p w14:paraId="45F100FA">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乙方应确保合同期</w:t>
      </w:r>
      <w:r>
        <w:rPr>
          <w:rFonts w:hint="eastAsia"/>
          <w:color w:val="000000" w:themeColor="text1"/>
          <w:sz w:val="24"/>
          <w14:textFill>
            <w14:solidFill>
              <w14:schemeClr w14:val="tx1"/>
            </w14:solidFill>
          </w14:textFill>
        </w:rPr>
        <w:t>间</w:t>
      </w:r>
      <w:r>
        <w:rPr>
          <w:color w:val="000000" w:themeColor="text1"/>
          <w:sz w:val="24"/>
          <w14:textFill>
            <w14:solidFill>
              <w14:schemeClr w14:val="tx1"/>
            </w14:solidFill>
          </w14:textFill>
        </w:rPr>
        <w:t>人员相对稳定，乙方应遵守国家法律法规，与聘用人员签订劳动合同。</w:t>
      </w:r>
    </w:p>
    <w:p w14:paraId="14365F04">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乙方保证满足物业管理安全要求，专业人员应满足本项目物业管理具体需要。</w:t>
      </w:r>
    </w:p>
    <w:p w14:paraId="715FE2A7">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建立健全物业管理档案资料。</w:t>
      </w:r>
    </w:p>
    <w:p w14:paraId="57AA8C04">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按照政府及有关部门的行业规定，协助甲方对甲方选聘的专营公司进行监管</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如电梯、消防、安防弱电及其他专业项目等</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w:t>
      </w:r>
    </w:p>
    <w:p w14:paraId="0DB617C8">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负责编制物业管理年度管理计划。</w:t>
      </w:r>
    </w:p>
    <w:p w14:paraId="7EBDC7A2">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对本合同内的物业公用设施不得擅自占用和改变使用功能，如需在本物业内改、扩建或完善配套项目，须经甲方书面同意并报有关部门批准后方可实施。</w:t>
      </w:r>
    </w:p>
    <w:p w14:paraId="26968868">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依据本合同向甲方收取物业管理服务费用</w:t>
      </w:r>
      <w:r>
        <w:rPr>
          <w:rFonts w:hint="eastAsia"/>
          <w:color w:val="000000" w:themeColor="text1"/>
          <w:sz w:val="24"/>
          <w14:textFill>
            <w14:solidFill>
              <w14:schemeClr w14:val="tx1"/>
            </w14:solidFill>
          </w14:textFill>
        </w:rPr>
        <w:t>。</w:t>
      </w:r>
    </w:p>
    <w:p w14:paraId="54CCFDF4">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乙方的服务承诺</w:t>
      </w:r>
    </w:p>
    <w:p w14:paraId="37909195">
      <w:pPr>
        <w:spacing w:line="360" w:lineRule="auto"/>
        <w:ind w:firstLine="42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                                          </w:t>
      </w:r>
    </w:p>
    <w:p w14:paraId="0B5DB551">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合同的变更和解除</w:t>
      </w:r>
    </w:p>
    <w:p w14:paraId="1DD203EE">
      <w:pPr>
        <w:spacing w:line="360" w:lineRule="auto"/>
        <w:ind w:firstLine="420"/>
        <w:rPr>
          <w:color w:val="000000" w:themeColor="text1"/>
          <w:sz w:val="24"/>
          <w14:textFill>
            <w14:solidFill>
              <w14:schemeClr w14:val="tx1"/>
            </w14:solidFill>
          </w14:textFill>
        </w:rPr>
      </w:pPr>
      <w:r>
        <w:rPr>
          <w:color w:val="000000" w:themeColor="text1"/>
          <w:sz w:val="24"/>
          <w14:textFill>
            <w14:solidFill>
              <w14:schemeClr w14:val="tx1"/>
            </w14:solidFill>
          </w14:textFill>
        </w:rPr>
        <w:t>本合同生效后，除法律法规或本合同另有规定外，未经甲、乙双方协商一致，任何一方不得提前中止、终止或解除本合同。</w:t>
      </w:r>
    </w:p>
    <w:p w14:paraId="5720CC33">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违约责任</w:t>
      </w:r>
    </w:p>
    <w:p w14:paraId="368F9265">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因甲方违反合同规定，造成乙方未能完成合同规定的管理目标，乙方有权要求甲方在一定期限内解决，逾期未能解决造成乙方经济损失的，甲方应给予相应的经济赔偿。</w:t>
      </w:r>
    </w:p>
    <w:p w14:paraId="420F92E4">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乙方物业管理服务质量由甲方根据具体情况组织有关人员进行量化评分（具体见《物业管理服务量化考核评分表》）。如甲方的评分低于85分，甲方有权要求乙方在限期内进行整改，经整改仍不能达到85分，甲方有权在物业服务费中扣除相应费用。</w:t>
      </w:r>
    </w:p>
    <w:p w14:paraId="673DADC9">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物业公司应按照服务标准抓好质量管理，若出现较严重服务质量问题，每次每处扣罚物业费500元。</w:t>
      </w:r>
    </w:p>
    <w:p w14:paraId="0B374B53">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在物业管理服务期内，未经甲方同意，乙方自行提前中止、终止或解除采购合同，则乙方应赔偿由此给甲方所造成的全部经济损失。</w:t>
      </w:r>
    </w:p>
    <w:p w14:paraId="73A1FE6C">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对工作中了解到的甲方的技术、机密等进行严格保密，不得向他人泄漏。采购合同的解除或终止不免除乙方应承担的保密义务。</w:t>
      </w:r>
    </w:p>
    <w:p w14:paraId="75E4B70E">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不可抗力</w:t>
      </w:r>
    </w:p>
    <w:p w14:paraId="289BB3F9">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如果各方中的任何一方因为不可抗力，如</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火灾，台风，洪水，地震或其他</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各方共同认为属于不可抗力的原因而被迫停止或推迟合同的执行，则合同执行将相应顺延，顺延的时间等于不可抗力发生作用的时间。</w:t>
      </w:r>
    </w:p>
    <w:p w14:paraId="7A01B97B">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受影响的一方应将不可抗力的出现尽快通过电传或传真方式通知其他方。在不可抗力出现后14天内，受影响的一方应向其他方提供一份有关权威机构出具的证书并通过快件寄至另一方以便其检验和确认。</w:t>
      </w:r>
    </w:p>
    <w:p w14:paraId="6173884B">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受影响的一方应在不可抗力终止或被排除后尽快通过电传或传真通知其他方，并通过挂号信方式通知其他方不可抗力已终结或排除，并继续合同的履行。</w:t>
      </w:r>
    </w:p>
    <w:p w14:paraId="76EB10F4">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如果不可抗力持续作用超过120天，各方将通过友好协商解决未来的合同执行问题。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037BA4EE">
      <w:pPr>
        <w:numPr>
          <w:ilvl w:val="0"/>
          <w:numId w:val="1"/>
        </w:numPr>
        <w:spacing w:line="360" w:lineRule="auto"/>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适用法律和争议解决</w:t>
      </w:r>
    </w:p>
    <w:p w14:paraId="214B482A">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本合同的成立、有效性、解释、履行、签署、修订和终止以及争议的解决均适用中华人民共和国法律。</w:t>
      </w:r>
    </w:p>
    <w:p w14:paraId="025E1C63">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若执行本合同的过程中发生纠纷，双方当事人应当及时协商解决</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协商不成时，可向</w:t>
      </w:r>
      <w:r>
        <w:rPr>
          <w:color w:val="000000" w:themeColor="text1"/>
          <w:sz w:val="24"/>
          <w:u w:val="single"/>
          <w14:textFill>
            <w14:solidFill>
              <w14:schemeClr w14:val="tx1"/>
            </w14:solidFill>
          </w14:textFill>
        </w:rPr>
        <w:t>甲方所在地</w:t>
      </w:r>
      <w:r>
        <w:rPr>
          <w:color w:val="000000" w:themeColor="text1"/>
          <w:sz w:val="24"/>
          <w14:textFill>
            <w14:solidFill>
              <w14:schemeClr w14:val="tx1"/>
            </w14:solidFill>
          </w14:textFill>
        </w:rPr>
        <w:t>人民法院提起诉</w:t>
      </w:r>
      <w:r>
        <w:rPr>
          <w:rFonts w:hint="eastAsia"/>
          <w:color w:val="000000" w:themeColor="text1"/>
          <w:sz w:val="24"/>
          <w14:textFill>
            <w14:solidFill>
              <w14:schemeClr w14:val="tx1"/>
            </w14:solidFill>
          </w14:textFill>
        </w:rPr>
        <w:t>讼。</w:t>
      </w:r>
    </w:p>
    <w:p w14:paraId="411BC8D2">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诉讼进行过程中，除双方有争议的部分外，本合同其他部分仍然有效，各方应继续履行。</w:t>
      </w:r>
    </w:p>
    <w:p w14:paraId="40A02E8A">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合同订立</w:t>
      </w:r>
    </w:p>
    <w:p w14:paraId="3808937B">
      <w:pPr>
        <w:numPr>
          <w:ilvl w:val="1"/>
          <w:numId w:val="1"/>
        </w:num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合同履行期限：</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年</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月</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日至</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年</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月</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日</w:t>
      </w:r>
      <w:r>
        <w:rPr>
          <w:color w:val="000000" w:themeColor="text1"/>
          <w:sz w:val="24"/>
          <w14:textFill>
            <w14:solidFill>
              <w14:schemeClr w14:val="tx1"/>
            </w14:solidFill>
          </w14:textFill>
        </w:rPr>
        <w:t>，在项目服务到期前，按照当年下达的政府采购预算金额，对乙方服务质量进行综合评定，评定结果为满足服务要求的与原乙方续签一年合同。</w:t>
      </w:r>
    </w:p>
    <w:p w14:paraId="40D9392A">
      <w:pPr>
        <w:numPr>
          <w:ilvl w:val="1"/>
          <w:numId w:val="1"/>
        </w:num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订立地点：</w:t>
      </w:r>
      <w:r>
        <w:rPr>
          <w:rFonts w:hint="eastAsia"/>
          <w:color w:val="000000" w:themeColor="text1"/>
          <w:sz w:val="24"/>
          <w:u w:val="single"/>
          <w14:textFill>
            <w14:solidFill>
              <w14:schemeClr w14:val="tx1"/>
            </w14:solidFill>
          </w14:textFill>
        </w:rPr>
        <w:t>西安市鄠邑区数据和行政审批服务局</w:t>
      </w:r>
    </w:p>
    <w:p w14:paraId="1E42FB12">
      <w:pPr>
        <w:numPr>
          <w:ilvl w:val="1"/>
          <w:numId w:val="1"/>
        </w:num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本合同自甲乙双方签字盖章之日起生效。</w:t>
      </w:r>
    </w:p>
    <w:p w14:paraId="0D088FC7">
      <w:pPr>
        <w:numPr>
          <w:ilvl w:val="1"/>
          <w:numId w:val="1"/>
        </w:num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本合同一式</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份，具有同等法律效力，甲方执</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份,乙方执</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份，监管部门备案</w:t>
      </w:r>
      <w:r>
        <w:rPr>
          <w:rFonts w:hint="eastAsia"/>
          <w:color w:val="000000" w:themeColor="text1"/>
          <w:sz w:val="24"/>
          <w:u w:val="single"/>
          <w14:textFill>
            <w14:solidFill>
              <w14:schemeClr w14:val="tx1"/>
            </w14:solidFill>
          </w14:textFill>
        </w:rPr>
        <w:t xml:space="preserve"> 壹 </w:t>
      </w:r>
      <w:r>
        <w:rPr>
          <w:rFonts w:hint="eastAsia"/>
          <w:color w:val="000000" w:themeColor="text1"/>
          <w:sz w:val="24"/>
          <w14:textFill>
            <w14:solidFill>
              <w14:schemeClr w14:val="tx1"/>
            </w14:solidFill>
          </w14:textFill>
        </w:rPr>
        <w:t>份。</w:t>
      </w:r>
    </w:p>
    <w:tbl>
      <w:tblPr>
        <w:tblStyle w:val="3"/>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44"/>
        <w:gridCol w:w="1933"/>
        <w:gridCol w:w="3166"/>
        <w:gridCol w:w="1815"/>
      </w:tblGrid>
      <w:tr w14:paraId="4A429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1" w:hRule="atLeast"/>
        </w:trPr>
        <w:tc>
          <w:tcPr>
            <w:tcW w:w="1528" w:type="pct"/>
          </w:tcPr>
          <w:p w14:paraId="1452EE18">
            <w:pPr>
              <w:spacing w:line="360"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甲方（盖章）：</w:t>
            </w:r>
          </w:p>
        </w:tc>
        <w:tc>
          <w:tcPr>
            <w:tcW w:w="970" w:type="pct"/>
          </w:tcPr>
          <w:p w14:paraId="41D5AE72">
            <w:pPr>
              <w:spacing w:line="360" w:lineRule="auto"/>
              <w:rPr>
                <w:color w:val="000000" w:themeColor="text1"/>
                <w:sz w:val="24"/>
                <w14:textFill>
                  <w14:solidFill>
                    <w14:schemeClr w14:val="tx1"/>
                  </w14:solidFill>
                </w14:textFill>
              </w:rPr>
            </w:pPr>
          </w:p>
        </w:tc>
        <w:tc>
          <w:tcPr>
            <w:tcW w:w="1589" w:type="pct"/>
          </w:tcPr>
          <w:p w14:paraId="530251DE">
            <w:pPr>
              <w:spacing w:line="360"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乙</w:t>
            </w:r>
            <w:r>
              <w:rPr>
                <w:color w:val="000000" w:themeColor="text1"/>
                <w:sz w:val="24"/>
                <w14:textFill>
                  <w14:solidFill>
                    <w14:schemeClr w14:val="tx1"/>
                  </w14:solidFill>
                </w14:textFill>
              </w:rPr>
              <w:t>方（盖章）：</w:t>
            </w:r>
          </w:p>
        </w:tc>
        <w:tc>
          <w:tcPr>
            <w:tcW w:w="910" w:type="pct"/>
          </w:tcPr>
          <w:p w14:paraId="4B2B7BE0">
            <w:pPr>
              <w:spacing w:line="360" w:lineRule="auto"/>
              <w:rPr>
                <w:color w:val="000000" w:themeColor="text1"/>
                <w:sz w:val="24"/>
                <w14:textFill>
                  <w14:solidFill>
                    <w14:schemeClr w14:val="tx1"/>
                  </w14:solidFill>
                </w14:textFill>
              </w:rPr>
            </w:pPr>
          </w:p>
        </w:tc>
      </w:tr>
      <w:tr w14:paraId="1DF6E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1" w:hRule="atLeast"/>
        </w:trPr>
        <w:tc>
          <w:tcPr>
            <w:tcW w:w="1528" w:type="pct"/>
          </w:tcPr>
          <w:p w14:paraId="07361E53">
            <w:pPr>
              <w:spacing w:line="360"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法定代表人或委托代理人（签字或盖章）：</w:t>
            </w:r>
          </w:p>
        </w:tc>
        <w:tc>
          <w:tcPr>
            <w:tcW w:w="970" w:type="pct"/>
          </w:tcPr>
          <w:p w14:paraId="3605D760">
            <w:pPr>
              <w:spacing w:line="360" w:lineRule="auto"/>
              <w:rPr>
                <w:color w:val="000000" w:themeColor="text1"/>
                <w:sz w:val="24"/>
                <w14:textFill>
                  <w14:solidFill>
                    <w14:schemeClr w14:val="tx1"/>
                  </w14:solidFill>
                </w14:textFill>
              </w:rPr>
            </w:pPr>
          </w:p>
        </w:tc>
        <w:tc>
          <w:tcPr>
            <w:tcW w:w="1589" w:type="pct"/>
          </w:tcPr>
          <w:p w14:paraId="414F6DDC">
            <w:pPr>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法定代表人或委托代理人（签字或盖章）：</w:t>
            </w:r>
          </w:p>
        </w:tc>
        <w:tc>
          <w:tcPr>
            <w:tcW w:w="910" w:type="pct"/>
          </w:tcPr>
          <w:p w14:paraId="2D5E4163">
            <w:pPr>
              <w:spacing w:line="360" w:lineRule="auto"/>
              <w:rPr>
                <w:color w:val="000000" w:themeColor="text1"/>
                <w:sz w:val="24"/>
                <w14:textFill>
                  <w14:solidFill>
                    <w14:schemeClr w14:val="tx1"/>
                  </w14:solidFill>
                </w14:textFill>
              </w:rPr>
            </w:pPr>
          </w:p>
        </w:tc>
      </w:tr>
      <w:tr w14:paraId="44D42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trPr>
        <w:tc>
          <w:tcPr>
            <w:tcW w:w="1528" w:type="pct"/>
          </w:tcPr>
          <w:p w14:paraId="566DB280">
            <w:pPr>
              <w:spacing w:line="360" w:lineRule="auto"/>
              <w:rPr>
                <w:color w:val="000000" w:themeColor="text1"/>
                <w:sz w:val="24"/>
                <w14:textFill>
                  <w14:solidFill>
                    <w14:schemeClr w14:val="tx1"/>
                  </w14:solidFill>
                </w14:textFill>
              </w:rPr>
            </w:pPr>
          </w:p>
        </w:tc>
        <w:tc>
          <w:tcPr>
            <w:tcW w:w="970" w:type="pct"/>
          </w:tcPr>
          <w:p w14:paraId="4D0A052F">
            <w:pPr>
              <w:spacing w:line="360" w:lineRule="auto"/>
              <w:rPr>
                <w:color w:val="000000" w:themeColor="text1"/>
                <w:sz w:val="24"/>
                <w14:textFill>
                  <w14:solidFill>
                    <w14:schemeClr w14:val="tx1"/>
                  </w14:solidFill>
                </w14:textFill>
              </w:rPr>
            </w:pPr>
          </w:p>
        </w:tc>
        <w:tc>
          <w:tcPr>
            <w:tcW w:w="2500" w:type="pct"/>
            <w:gridSpan w:val="2"/>
            <w:vAlign w:val="bottom"/>
          </w:tcPr>
          <w:p w14:paraId="7B59D920">
            <w:pPr>
              <w:spacing w:line="360" w:lineRule="auto"/>
              <w:jc w:val="right"/>
              <w:rPr>
                <w:color w:val="000000" w:themeColor="text1"/>
                <w:sz w:val="24"/>
                <w14:textFill>
                  <w14:solidFill>
                    <w14:schemeClr w14:val="tx1"/>
                  </w14:solidFill>
                </w14:textFill>
              </w:rPr>
            </w:pPr>
            <w:r>
              <w:rPr>
                <w:color w:val="000000" w:themeColor="text1"/>
                <w:sz w:val="24"/>
                <w14:textFill>
                  <w14:solidFill>
                    <w14:schemeClr w14:val="tx1"/>
                  </w14:solidFill>
                </w14:textFill>
              </w:rPr>
              <w:t>合同签订日期：</w:t>
            </w:r>
            <w:r>
              <w:rPr>
                <w:rFonts w:hint="eastAsia"/>
                <w:color w:val="000000" w:themeColor="text1"/>
                <w:sz w:val="24"/>
                <w14:textFill>
                  <w14:solidFill>
                    <w14:schemeClr w14:val="tx1"/>
                  </w14:solidFill>
                </w14:textFill>
              </w:rPr>
              <w:t xml:space="preserve">    年  月  日</w:t>
            </w:r>
          </w:p>
        </w:tc>
      </w:tr>
    </w:tbl>
    <w:p w14:paraId="062615C2">
      <w:pPr>
        <w:spacing w:line="360" w:lineRule="auto"/>
        <w:rPr>
          <w:color w:val="000000" w:themeColor="text1"/>
          <w:sz w:val="24"/>
          <w14:textFill>
            <w14:solidFill>
              <w14:schemeClr w14:val="tx1"/>
            </w14:solidFill>
          </w14:textFill>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37417"/>
    <w:multiLevelType w:val="multilevel"/>
    <w:tmpl w:val="88837417"/>
    <w:lvl w:ilvl="0" w:tentative="0">
      <w:start w:val="1"/>
      <w:numFmt w:val="chineseCounting"/>
      <w:suff w:val="nothing"/>
      <w:lvlText w:val="%1、"/>
      <w:lvlJc w:val="left"/>
      <w:pPr>
        <w:ind w:left="210"/>
      </w:pPr>
      <w:rPr>
        <w:rFonts w:hint="eastAsia"/>
      </w:rPr>
    </w:lvl>
    <w:lvl w:ilvl="1" w:tentative="0">
      <w:start w:val="1"/>
      <w:numFmt w:val="decimal"/>
      <w:suff w:val="nothing"/>
      <w:lvlText w:val="%2．"/>
      <w:lvlJc w:val="left"/>
      <w:rPr>
        <w:rFonts w:hint="eastAsia"/>
      </w:rPr>
    </w:lvl>
    <w:lvl w:ilvl="2" w:tentative="0">
      <w:start w:val="1"/>
      <w:numFmt w:val="decimal"/>
      <w:suff w:val="nothing"/>
      <w:lvlText w:val="（%3）"/>
      <w:lvlJc w:val="left"/>
      <w:rPr>
        <w:rFonts w:hint="eastAsia"/>
      </w:rPr>
    </w:lvl>
    <w:lvl w:ilvl="3" w:tentative="0">
      <w:start w:val="1"/>
      <w:numFmt w:val="decimalEnclosedCircleChinese"/>
      <w:suff w:val="nothing"/>
      <w:lvlText w:val="%4"/>
      <w:lvlJc w:val="left"/>
      <w:rPr>
        <w:rFonts w:hint="eastAsia"/>
      </w:rPr>
    </w:lvl>
    <w:lvl w:ilvl="4" w:tentative="0">
      <w:start w:val="1"/>
      <w:numFmt w:val="decimal"/>
      <w:suff w:val="nothing"/>
      <w:lvlText w:val="%5）"/>
      <w:lvlJc w:val="left"/>
      <w:rPr>
        <w:rFonts w:hint="eastAsia"/>
      </w:rPr>
    </w:lvl>
    <w:lvl w:ilvl="5" w:tentative="0">
      <w:start w:val="1"/>
      <w:numFmt w:val="lowerLetter"/>
      <w:suff w:val="nothing"/>
      <w:lvlText w:val="%6．"/>
      <w:lvlJc w:val="left"/>
      <w:rPr>
        <w:rFonts w:hint="eastAsia"/>
      </w:rPr>
    </w:lvl>
    <w:lvl w:ilvl="6" w:tentative="0">
      <w:start w:val="1"/>
      <w:numFmt w:val="lowerLetter"/>
      <w:suff w:val="nothing"/>
      <w:lvlText w:val="%7）"/>
      <w:lvlJc w:val="left"/>
      <w:rPr>
        <w:rFonts w:hint="eastAsia"/>
      </w:rPr>
    </w:lvl>
    <w:lvl w:ilvl="7" w:tentative="0">
      <w:start w:val="1"/>
      <w:numFmt w:val="lowerRoman"/>
      <w:suff w:val="nothing"/>
      <w:lvlText w:val="%8．"/>
      <w:lvlJc w:val="left"/>
      <w:rPr>
        <w:rFonts w:hint="eastAsia"/>
      </w:rPr>
    </w:lvl>
    <w:lvl w:ilvl="8" w:tentative="0">
      <w:start w:val="1"/>
      <w:numFmt w:val="lowerRoman"/>
      <w:suff w:val="nothing"/>
      <w:lvlText w:val="%9）"/>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40B"/>
    <w:rsid w:val="003E03B0"/>
    <w:rsid w:val="005C6A7B"/>
    <w:rsid w:val="0072540B"/>
    <w:rsid w:val="00EA319C"/>
    <w:rsid w:val="00EA5EE3"/>
    <w:rsid w:val="02224692"/>
    <w:rsid w:val="0337738D"/>
    <w:rsid w:val="037A43BE"/>
    <w:rsid w:val="04E32D5F"/>
    <w:rsid w:val="0CC73E81"/>
    <w:rsid w:val="0D427321"/>
    <w:rsid w:val="0F2579CA"/>
    <w:rsid w:val="12EF1A32"/>
    <w:rsid w:val="16363AB2"/>
    <w:rsid w:val="19BE215E"/>
    <w:rsid w:val="1A246465"/>
    <w:rsid w:val="1CB07F33"/>
    <w:rsid w:val="1D5E3A3C"/>
    <w:rsid w:val="1D942FDD"/>
    <w:rsid w:val="1E192DA5"/>
    <w:rsid w:val="1E993156"/>
    <w:rsid w:val="21900776"/>
    <w:rsid w:val="220B1CB9"/>
    <w:rsid w:val="22AE5C66"/>
    <w:rsid w:val="22C45910"/>
    <w:rsid w:val="26257DBF"/>
    <w:rsid w:val="26E53821"/>
    <w:rsid w:val="281C69CE"/>
    <w:rsid w:val="2B9B68EC"/>
    <w:rsid w:val="2C974E5E"/>
    <w:rsid w:val="2CA3146B"/>
    <w:rsid w:val="2E1B7727"/>
    <w:rsid w:val="2FF27544"/>
    <w:rsid w:val="30F975CF"/>
    <w:rsid w:val="31112465"/>
    <w:rsid w:val="311C7A3E"/>
    <w:rsid w:val="31244B45"/>
    <w:rsid w:val="31530361"/>
    <w:rsid w:val="31D934DD"/>
    <w:rsid w:val="322555EA"/>
    <w:rsid w:val="36633A19"/>
    <w:rsid w:val="36C81878"/>
    <w:rsid w:val="38121199"/>
    <w:rsid w:val="382C4A0B"/>
    <w:rsid w:val="382D42DF"/>
    <w:rsid w:val="3C1B6ADE"/>
    <w:rsid w:val="3C8F5568"/>
    <w:rsid w:val="3D78424E"/>
    <w:rsid w:val="3DAC3EF8"/>
    <w:rsid w:val="3E9E5F37"/>
    <w:rsid w:val="40F6130A"/>
    <w:rsid w:val="44F14962"/>
    <w:rsid w:val="45161D4D"/>
    <w:rsid w:val="46407BA0"/>
    <w:rsid w:val="48AF2024"/>
    <w:rsid w:val="49227C1A"/>
    <w:rsid w:val="49361952"/>
    <w:rsid w:val="4BA3693A"/>
    <w:rsid w:val="4D116D76"/>
    <w:rsid w:val="51864D34"/>
    <w:rsid w:val="563565ED"/>
    <w:rsid w:val="57D8557B"/>
    <w:rsid w:val="599315A9"/>
    <w:rsid w:val="5AD121D5"/>
    <w:rsid w:val="5C837F16"/>
    <w:rsid w:val="5DF01808"/>
    <w:rsid w:val="619F774C"/>
    <w:rsid w:val="61F102A9"/>
    <w:rsid w:val="6287090C"/>
    <w:rsid w:val="636B1FDC"/>
    <w:rsid w:val="63AE011A"/>
    <w:rsid w:val="63E54A28"/>
    <w:rsid w:val="64CF321D"/>
    <w:rsid w:val="64D4770D"/>
    <w:rsid w:val="67AB03DB"/>
    <w:rsid w:val="68780C13"/>
    <w:rsid w:val="69083E29"/>
    <w:rsid w:val="707E2AEB"/>
    <w:rsid w:val="70EF6E70"/>
    <w:rsid w:val="71FD64F5"/>
    <w:rsid w:val="74FA4F6E"/>
    <w:rsid w:val="76D01A14"/>
    <w:rsid w:val="76D34710"/>
    <w:rsid w:val="7750356B"/>
    <w:rsid w:val="77D31B2E"/>
    <w:rsid w:val="78EF7922"/>
    <w:rsid w:val="790E5590"/>
    <w:rsid w:val="79380F08"/>
    <w:rsid w:val="7C4B4301"/>
    <w:rsid w:val="7C4C370C"/>
    <w:rsid w:val="7D030CD1"/>
    <w:rsid w:val="7D6B3946"/>
    <w:rsid w:val="7DFE3170"/>
    <w:rsid w:val="7EEA3A51"/>
    <w:rsid w:val="7F995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45</TotalTime>
  <Pages>7</Pages>
  <Words>4083</Words>
  <Characters>4123</Characters>
  <DocSecurity>0</DocSecurity>
  <Lines>31</Lines>
  <Paragraphs>8</Paragraphs>
  <ScaleCrop>false</ScaleCrop>
  <LinksUpToDate>false</LinksUpToDate>
  <CharactersWithSpaces>4300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dcterms:created xsi:type="dcterms:W3CDTF">2025-09-28T08:17:00Z</dcterms:created>
  <dcterms:modified xsi:type="dcterms:W3CDTF">2025-10-10T02:49:28Z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eyJoZGlkIjoiNTQ4MGZiNDI1NWE5NWIxODY1MmZkZDhjOTM1MjhmN2QiLCJ1c2VySWQiOiI2MDQwOTcyMjUifQ==</vt:lpwstr>
  </property>
  <property fmtid="{D5CDD505-2E9C-101B-9397-08002B2CF9AE}" pid="4" name="ICV">
    <vt:lpwstr>70B0B03DC18A488F93590DB109AF5256_13</vt:lpwstr>
  </property>
</Properties>
</file>