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版本号：THXZB2025-106620250904001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关于购置连续性血液净化设备项目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THXZB2025-1066</w:t>
      </w:r>
      <w:r>
        <w:br/>
      </w:r>
      <w:r>
        <w:br/>
      </w:r>
      <w:r>
        <w:br/>
      </w:r>
    </w:p>
    <w:p>
      <w:pPr>
        <w:pStyle w:val="null3"/>
        <w:jc w:val="center"/>
        <w:outlineLvl w:val="2"/>
      </w:pPr>
      <w:r>
        <w:rPr>
          <w:rFonts w:ascii="仿宋_GB2312" w:hAnsi="仿宋_GB2312" w:cs="仿宋_GB2312" w:eastAsia="仿宋_GB2312"/>
          <w:sz w:val="28"/>
          <w:b/>
        </w:rPr>
        <w:t>西安市鄠邑区中医医院</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西安市鄠邑区中医医院</w:t>
      </w:r>
      <w:r>
        <w:rPr>
          <w:rFonts w:ascii="仿宋_GB2312" w:hAnsi="仿宋_GB2312" w:cs="仿宋_GB2312" w:eastAsia="仿宋_GB2312"/>
        </w:rPr>
        <w:t>委托，拟对</w:t>
      </w:r>
      <w:r>
        <w:rPr>
          <w:rFonts w:ascii="仿宋_GB2312" w:hAnsi="仿宋_GB2312" w:cs="仿宋_GB2312" w:eastAsia="仿宋_GB2312"/>
        </w:rPr>
        <w:t>关于购置连续性血液净化设备项目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THXZB2025-1066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关于购置连续性血液净化设备项目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西安市鄠邑区中医医院关于购置连续性血液净化设备项目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投标须提交法定代表人证明书，法定代表人授权代表参加投标的，须出具法定代表人证明书及授权书、授权代表本单位的证明（提供投标截止时间前三个月内任意一个月的养老保险参保缴费证明），供应商需在项目电子化交易系统中按要求上传相应证明文件并进行电子签章。</w:t>
      </w:r>
    </w:p>
    <w:p>
      <w:pPr>
        <w:pStyle w:val="null3"/>
      </w:pPr>
      <w:r>
        <w:rPr>
          <w:rFonts w:ascii="仿宋_GB2312" w:hAnsi="仿宋_GB2312" w:cs="仿宋_GB2312" w:eastAsia="仿宋_GB2312"/>
        </w:rPr>
        <w:t>3、供应商资质1：生产厂家直接参加投标的须提供《医疗器械生产许可证》（复印件加盖公章）；代理商参加投标的须提供《医疗器械经营许可证》（或备案凭证）（复印件加盖公章）及所投设备生产厂家的《医疗器械生产许可证》（复印件加盖公章），供应商需在项目电子化交易系统中按要求上传相应证明文件并进行电子签章。</w:t>
      </w:r>
    </w:p>
    <w:p>
      <w:pPr>
        <w:pStyle w:val="null3"/>
      </w:pPr>
      <w:r>
        <w:rPr>
          <w:rFonts w:ascii="仿宋_GB2312" w:hAnsi="仿宋_GB2312" w:cs="仿宋_GB2312" w:eastAsia="仿宋_GB2312"/>
        </w:rPr>
        <w:t>4、供应商资质2：所投设备属于医疗器械分类的须提供《医疗器械产品注册证》（复印件加盖公章），供应商需在项目电子化交易系统中按要求上传相应证明文件并进行电子签章。</w:t>
      </w:r>
    </w:p>
    <w:p>
      <w:pPr>
        <w:pStyle w:val="null3"/>
      </w:pPr>
      <w:r>
        <w:rPr>
          <w:rFonts w:ascii="仿宋_GB2312" w:hAnsi="仿宋_GB2312" w:cs="仿宋_GB2312" w:eastAsia="仿宋_GB2312"/>
        </w:rPr>
        <w:t>5、财务状况：供应商须提供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6、税收缴纳证明：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障资金缴纳证明：供应商须提供投标截止时间前半年内任意一个月的社会保障资金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无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9、履约能力承诺函：供应商须提供具有履行合同所必需的设备和专业技术能力的承诺函，供应商需在项目电子化交易系统中按要求上传相应证明文件并进行电子签章。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西安市鄠邑区吕公东路5189号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029-84811814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西安市雁塔区雁南二路西京公司西京科创园3号楼25楼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不足陆仟按陆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西安市鄠邑区中医医院</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w:t>
      </w:r>
    </w:p>
    <w:p>
      <w:pPr>
        <w:pStyle w:val="null3"/>
      </w:pPr>
      <w:r>
        <w:rPr>
          <w:rFonts w:ascii="仿宋_GB2312" w:hAnsi="仿宋_GB2312" w:cs="仿宋_GB2312" w:eastAsia="仿宋_GB2312"/>
        </w:rPr>
        <w:t>地址：西安市雁塔区雁南二路西京公司西京科创园3号楼25楼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西安市鄠邑区中医医院关于购置连续性血液净化设备项目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连续性血液净化设备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标的名称：连续性血液净化设备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0"/>
              <w:gridCol w:w="274"/>
              <w:gridCol w:w="1631"/>
              <w:gridCol w:w="199"/>
              <w:gridCol w:w="199"/>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技术性能及参数</w:t>
                  </w:r>
                  <w:r>
                    <w:rPr>
                      <w:rFonts w:ascii="仿宋_GB2312" w:hAnsi="仿宋_GB2312" w:cs="仿宋_GB2312" w:eastAsia="仿宋_GB2312"/>
                      <w:sz w:val="21"/>
                      <w:color w:val="000000"/>
                    </w:rPr>
                    <w:t>/规格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连续性血液净化设备</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一、功能要求：</w:t>
                  </w:r>
                </w:p>
                <w:p>
                  <w:pPr>
                    <w:pStyle w:val="null3"/>
                    <w:jc w:val="left"/>
                  </w:pPr>
                  <w:r>
                    <w:rPr>
                      <w:rFonts w:ascii="仿宋_GB2312" w:hAnsi="仿宋_GB2312" w:cs="仿宋_GB2312" w:eastAsia="仿宋_GB2312"/>
                      <w:sz w:val="21"/>
                      <w:color w:val="000000"/>
                    </w:rPr>
                    <w:t>用于连续性血液净化治疗、血浆置换治疗、血浆吸附治疗、血液灌流治疗等。</w:t>
                  </w:r>
                </w:p>
                <w:p>
                  <w:pPr>
                    <w:pStyle w:val="null3"/>
                    <w:jc w:val="left"/>
                  </w:pPr>
                  <w:r>
                    <w:rPr>
                      <w:rFonts w:ascii="仿宋_GB2312" w:hAnsi="仿宋_GB2312" w:cs="仿宋_GB2312" w:eastAsia="仿宋_GB2312"/>
                      <w:sz w:val="21"/>
                      <w:color w:val="000000"/>
                    </w:rPr>
                    <w:t>二、治疗模式：</w:t>
                  </w:r>
                </w:p>
                <w:p>
                  <w:pPr>
                    <w:pStyle w:val="null3"/>
                    <w:jc w:val="left"/>
                  </w:pPr>
                  <w:r>
                    <w:rPr>
                      <w:rFonts w:ascii="仿宋_GB2312" w:hAnsi="仿宋_GB2312" w:cs="仿宋_GB2312" w:eastAsia="仿宋_GB2312"/>
                      <w:sz w:val="21"/>
                      <w:color w:val="000000"/>
                    </w:rPr>
                    <w:t>支持连续性静脉静脉血液透析、连续性静脉静脉血液滤过、血浆吸附、连续性透析滤过、单重血浆置换、缓慢性连续性超滤、血液灌流等治疗功能。</w:t>
                  </w:r>
                </w:p>
                <w:p>
                  <w:pPr>
                    <w:pStyle w:val="null3"/>
                    <w:jc w:val="left"/>
                  </w:pPr>
                  <w:r>
                    <w:rPr>
                      <w:rFonts w:ascii="仿宋_GB2312" w:hAnsi="仿宋_GB2312" w:cs="仿宋_GB2312" w:eastAsia="仿宋_GB2312"/>
                      <w:sz w:val="21"/>
                      <w:color w:val="000000"/>
                    </w:rPr>
                    <w:t>三、技术参数：</w:t>
                  </w:r>
                </w:p>
                <w:p>
                  <w:pPr>
                    <w:pStyle w:val="null3"/>
                    <w:jc w:val="left"/>
                  </w:pPr>
                  <w:r>
                    <w:rPr>
                      <w:rFonts w:ascii="仿宋_GB2312" w:hAnsi="仿宋_GB2312" w:cs="仿宋_GB2312" w:eastAsia="仿宋_GB2312"/>
                      <w:sz w:val="21"/>
                      <w:color w:val="000000"/>
                    </w:rPr>
                    <w:t>▲1.≥12英寸可旋转液晶触摸显示屏，中文操作界面。</w:t>
                  </w:r>
                </w:p>
                <w:p>
                  <w:pPr>
                    <w:pStyle w:val="null3"/>
                    <w:jc w:val="left"/>
                  </w:pPr>
                  <w:r>
                    <w:rPr>
                      <w:rFonts w:ascii="仿宋_GB2312" w:hAnsi="仿宋_GB2312" w:cs="仿宋_GB2312" w:eastAsia="仿宋_GB2312"/>
                      <w:sz w:val="21"/>
                      <w:color w:val="000000"/>
                    </w:rPr>
                    <w:t>2.管路安装图文引导功能。</w:t>
                  </w:r>
                </w:p>
                <w:p>
                  <w:pPr>
                    <w:pStyle w:val="null3"/>
                    <w:jc w:val="left"/>
                  </w:pPr>
                  <w:r>
                    <w:rPr>
                      <w:rFonts w:ascii="仿宋_GB2312" w:hAnsi="仿宋_GB2312" w:cs="仿宋_GB2312" w:eastAsia="仿宋_GB2312"/>
                      <w:sz w:val="21"/>
                      <w:color w:val="000000"/>
                    </w:rPr>
                    <w:t>3.管路和血液滤过器分离，可兼容多种品牌的透析器、血浆分离器和灌流器等。</w:t>
                  </w:r>
                </w:p>
                <w:p>
                  <w:pPr>
                    <w:pStyle w:val="null3"/>
                    <w:jc w:val="left"/>
                  </w:pPr>
                  <w:r>
                    <w:rPr>
                      <w:rFonts w:ascii="仿宋_GB2312" w:hAnsi="仿宋_GB2312" w:cs="仿宋_GB2312" w:eastAsia="仿宋_GB2312"/>
                      <w:sz w:val="21"/>
                      <w:color w:val="000000"/>
                    </w:rPr>
                    <w:t>4.肝素泵，支持10ml、20m1、30ml、50ml等规格的注射器。</w:t>
                  </w:r>
                </w:p>
                <w:p>
                  <w:pPr>
                    <w:pStyle w:val="null3"/>
                    <w:jc w:val="left"/>
                  </w:pPr>
                  <w:r>
                    <w:rPr>
                      <w:rFonts w:ascii="仿宋_GB2312" w:hAnsi="仿宋_GB2312" w:cs="仿宋_GB2312" w:eastAsia="仿宋_GB2312"/>
                      <w:sz w:val="21"/>
                      <w:color w:val="000000"/>
                    </w:rPr>
                    <w:t>5.流量控制范围</w:t>
                  </w:r>
                </w:p>
                <w:p>
                  <w:pPr>
                    <w:pStyle w:val="null3"/>
                    <w:jc w:val="left"/>
                  </w:pPr>
                  <w:r>
                    <w:rPr>
                      <w:rFonts w:ascii="仿宋_GB2312" w:hAnsi="仿宋_GB2312" w:cs="仿宋_GB2312" w:eastAsia="仿宋_GB2312"/>
                      <w:sz w:val="21"/>
                      <w:color w:val="000000"/>
                    </w:rPr>
                    <w:t>5.1血泵流量范围：30mL/min~500mL/min。</w:t>
                  </w:r>
                </w:p>
                <w:p>
                  <w:pPr>
                    <w:pStyle w:val="null3"/>
                    <w:jc w:val="left"/>
                  </w:pPr>
                  <w:r>
                    <w:rPr>
                      <w:rFonts w:ascii="仿宋_GB2312" w:hAnsi="仿宋_GB2312" w:cs="仿宋_GB2312" w:eastAsia="仿宋_GB2312"/>
                      <w:sz w:val="21"/>
                      <w:color w:val="000000"/>
                    </w:rPr>
                    <w:t>5.2置换液流量范围：100~12000mL/h。</w:t>
                  </w:r>
                </w:p>
                <w:p>
                  <w:pPr>
                    <w:pStyle w:val="null3"/>
                    <w:jc w:val="left"/>
                  </w:pPr>
                  <w:r>
                    <w:rPr>
                      <w:rFonts w:ascii="仿宋_GB2312" w:hAnsi="仿宋_GB2312" w:cs="仿宋_GB2312" w:eastAsia="仿宋_GB2312"/>
                      <w:sz w:val="21"/>
                      <w:color w:val="000000"/>
                    </w:rPr>
                    <w:t>5.3废液流量范围：100~12000mL/h。</w:t>
                  </w:r>
                </w:p>
                <w:p>
                  <w:pPr>
                    <w:pStyle w:val="null3"/>
                    <w:jc w:val="left"/>
                  </w:pPr>
                  <w:r>
                    <w:rPr>
                      <w:rFonts w:ascii="仿宋_GB2312" w:hAnsi="仿宋_GB2312" w:cs="仿宋_GB2312" w:eastAsia="仿宋_GB2312"/>
                      <w:sz w:val="21"/>
                      <w:color w:val="000000"/>
                    </w:rPr>
                    <w:t>6.压力监测范围</w:t>
                  </w:r>
                </w:p>
                <w:p>
                  <w:pPr>
                    <w:pStyle w:val="null3"/>
                    <w:jc w:val="left"/>
                  </w:pPr>
                  <w:r>
                    <w:rPr>
                      <w:rFonts w:ascii="仿宋_GB2312" w:hAnsi="仿宋_GB2312" w:cs="仿宋_GB2312" w:eastAsia="仿宋_GB2312"/>
                      <w:sz w:val="21"/>
                      <w:color w:val="000000"/>
                    </w:rPr>
                    <w:t>▲6.1动脉压监测范围：-300mmHg~+600mmHg。</w:t>
                  </w:r>
                </w:p>
                <w:p>
                  <w:pPr>
                    <w:pStyle w:val="null3"/>
                    <w:jc w:val="left"/>
                  </w:pPr>
                  <w:r>
                    <w:rPr>
                      <w:rFonts w:ascii="仿宋_GB2312" w:hAnsi="仿宋_GB2312" w:cs="仿宋_GB2312" w:eastAsia="仿宋_GB2312"/>
                      <w:sz w:val="21"/>
                      <w:color w:val="000000"/>
                    </w:rPr>
                    <w:t>▲6.2静脉压监测范围：-300mmHg~+600mmHg。</w:t>
                  </w:r>
                </w:p>
                <w:p>
                  <w:pPr>
                    <w:pStyle w:val="null3"/>
                    <w:jc w:val="left"/>
                  </w:pPr>
                  <w:r>
                    <w:rPr>
                      <w:rFonts w:ascii="仿宋_GB2312" w:hAnsi="仿宋_GB2312" w:cs="仿宋_GB2312" w:eastAsia="仿宋_GB2312"/>
                      <w:sz w:val="21"/>
                      <w:color w:val="000000"/>
                    </w:rPr>
                    <w:t>▲6.3滤前压监测范围：-300mmHg~+600mmHg。</w:t>
                  </w:r>
                </w:p>
                <w:p>
                  <w:pPr>
                    <w:pStyle w:val="null3"/>
                    <w:jc w:val="left"/>
                  </w:pPr>
                  <w:r>
                    <w:rPr>
                      <w:rFonts w:ascii="仿宋_GB2312" w:hAnsi="仿宋_GB2312" w:cs="仿宋_GB2312" w:eastAsia="仿宋_GB2312"/>
                      <w:sz w:val="21"/>
                      <w:color w:val="000000"/>
                    </w:rPr>
                    <w:t>6.4一级膜外压监测范围：-300mmHg~+600mmHg。</w:t>
                  </w:r>
                </w:p>
                <w:p>
                  <w:pPr>
                    <w:pStyle w:val="null3"/>
                    <w:jc w:val="left"/>
                  </w:pPr>
                  <w:r>
                    <w:rPr>
                      <w:rFonts w:ascii="仿宋_GB2312" w:hAnsi="仿宋_GB2312" w:cs="仿宋_GB2312" w:eastAsia="仿宋_GB2312"/>
                      <w:sz w:val="21"/>
                      <w:color w:val="000000"/>
                    </w:rPr>
                    <w:t>7.气泡检测器：可监测&gt;0.02ml的气泡。</w:t>
                  </w:r>
                </w:p>
                <w:p>
                  <w:pPr>
                    <w:pStyle w:val="null3"/>
                    <w:jc w:val="left"/>
                  </w:pPr>
                  <w:r>
                    <w:rPr>
                      <w:rFonts w:ascii="仿宋_GB2312" w:hAnsi="仿宋_GB2312" w:cs="仿宋_GB2312" w:eastAsia="仿宋_GB2312"/>
                      <w:sz w:val="21"/>
                      <w:color w:val="000000"/>
                    </w:rPr>
                    <w:t>8.漏血监测：可检测≤0.35mL/min。</w:t>
                  </w:r>
                </w:p>
                <w:p>
                  <w:pPr>
                    <w:pStyle w:val="null3"/>
                    <w:jc w:val="left"/>
                  </w:pPr>
                  <w:r>
                    <w:rPr>
                      <w:rFonts w:ascii="仿宋_GB2312" w:hAnsi="仿宋_GB2312" w:cs="仿宋_GB2312" w:eastAsia="仿宋_GB2312"/>
                      <w:sz w:val="21"/>
                      <w:color w:val="000000"/>
                    </w:rPr>
                    <w:t>9.脱水范围0~3000mL/h。</w:t>
                  </w:r>
                </w:p>
                <w:p>
                  <w:pPr>
                    <w:pStyle w:val="null3"/>
                    <w:jc w:val="left"/>
                  </w:pPr>
                  <w:r>
                    <w:rPr>
                      <w:rFonts w:ascii="仿宋_GB2312" w:hAnsi="仿宋_GB2312" w:cs="仿宋_GB2312" w:eastAsia="仿宋_GB2312"/>
                      <w:sz w:val="21"/>
                      <w:color w:val="000000"/>
                    </w:rPr>
                    <w:t>▲10.加热系统：直接控制置换液温度，温度范围：33~40℃，控制精度：±1℃。</w:t>
                  </w:r>
                </w:p>
                <w:p>
                  <w:pPr>
                    <w:pStyle w:val="null3"/>
                    <w:jc w:val="left"/>
                  </w:pPr>
                  <w:r>
                    <w:rPr>
                      <w:rFonts w:ascii="仿宋_GB2312" w:hAnsi="仿宋_GB2312" w:cs="仿宋_GB2312" w:eastAsia="仿宋_GB2312"/>
                      <w:sz w:val="21"/>
                      <w:color w:val="000000"/>
                    </w:rPr>
                    <w:t>▲11.≥2个称重计，称重范围：0kg~30kg。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合同签订生效，全部货品到达采购人指定地点，安装调试并验收合格，自验收之日起30日内支付合同总价款的100%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3.4.6.1除合同另有规定外，卖方提供的全部货物，均应按标准保护措施进行包装。这类包装应适应于远距离运输、防潮、防震、防锈和防野蛮装卸，以确保货物安全无损运抵项目现场。 3.4.6.2每一个包装箱内应附一份详细装箱单和质量合格证。 3.4.6.3卖方负责安排货物到达交货地点的一切运输，并承担运输费用。 3.4.6.4卖方装运的货物不应超过合同规定的数量或重量。否则，卖方应对因超数量或重量而产生的一切后果负责。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1、售后服务要求： 1.1电话咨询： 供应商或厂家应当为用户提供技术援助电话，解答用户在使用中遇到的问题，及时为用户提出解决问题的建议。 现场响应用户遇到使用及技术问题，电话咨询不能解决的，供应商或厂家应在2小时内采取相应措施，8小时内提供上门服务，无法在24小时内排除故障的，应在48小时内提供备用产品，使用户能够正常使用。 1.2质保期外服务要求 1.2.1质量保证期过后，供应商或厂家应同样提供免费电话咨询服务，并应承诺提供产品上门维修服务。 1.2.2质量保证期过后，采购人需要继续由供应商或厂家提供售后服务的，该供应商或厂家应以优惠价格提供售后服务。 1.3备品备件及易耗品要求 供应商须在响应文件中提供备品备件及易耗品价格表。 2、本项目采购标的所属行业为：工业。（按照《工信部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授权代表本单位的证明（提供投标截止时间前三个月内任意一个月的养老保险参保缴费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 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供应商资质1</w:t>
            </w:r>
          </w:p>
        </w:tc>
        <w:tc>
          <w:tcPr>
            <w:tcW w:type="dxa" w:w="3322"/>
          </w:tcPr>
          <w:p>
            <w:pPr>
              <w:pStyle w:val="null3"/>
            </w:pPr>
            <w:r>
              <w:rPr>
                <w:rFonts w:ascii="仿宋_GB2312" w:hAnsi="仿宋_GB2312" w:cs="仿宋_GB2312" w:eastAsia="仿宋_GB2312"/>
              </w:rPr>
              <w:t>生产厂家直接参加投标的须提供《医疗器械生产许可证》（复印件加盖公章）；代理商参加投标的须提供《医疗器械经营许可证》（或备案凭证）（复印件加盖公章）及所投设备生产厂家的《医疗器械生产许可证》（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供应商资质2</w:t>
            </w:r>
          </w:p>
        </w:tc>
        <w:tc>
          <w:tcPr>
            <w:tcW w:type="dxa" w:w="3322"/>
          </w:tcPr>
          <w:p>
            <w:pPr>
              <w:pStyle w:val="null3"/>
            </w:pPr>
            <w:r>
              <w:rPr>
                <w:rFonts w:ascii="仿宋_GB2312" w:hAnsi="仿宋_GB2312" w:cs="仿宋_GB2312" w:eastAsia="仿宋_GB2312"/>
              </w:rPr>
              <w:t>所投设备属于医疗器械分类的须提供《医疗器械产品注册证》（复印件加盖公章），供应商需在项目电子化交易系统中按要求上传相应证明文件并进行电子签章。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半年内任意一个月的社会保障资金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分项报价表.docx 标的清单 报价表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分项报价表.docx 标的清单 报价表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响应内容与要求</w:t>
            </w:r>
          </w:p>
        </w:tc>
        <w:tc>
          <w:tcPr>
            <w:tcW w:type="dxa" w:w="3322"/>
          </w:tcPr>
          <w:p>
            <w:pPr>
              <w:pStyle w:val="null3"/>
            </w:pPr>
            <w:r>
              <w:rPr>
                <w:rFonts w:ascii="仿宋_GB2312" w:hAnsi="仿宋_GB2312" w:cs="仿宋_GB2312" w:eastAsia="仿宋_GB2312"/>
              </w:rPr>
              <w:t>磋商响应内容未出现漏项；数量与要求相符；</w:t>
            </w:r>
          </w:p>
        </w:tc>
        <w:tc>
          <w:tcPr>
            <w:tcW w:type="dxa" w:w="1661"/>
          </w:tcPr>
          <w:p>
            <w:pPr>
              <w:pStyle w:val="null3"/>
            </w:pPr>
            <w:r>
              <w:rPr>
                <w:rFonts w:ascii="仿宋_GB2312" w:hAnsi="仿宋_GB2312" w:cs="仿宋_GB2312" w:eastAsia="仿宋_GB2312"/>
              </w:rPr>
              <w:t>技术要求偏离表.docx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响应产品的技术指标</w:t>
            </w:r>
          </w:p>
        </w:tc>
        <w:tc>
          <w:tcPr>
            <w:tcW w:type="dxa" w:w="3322"/>
          </w:tcPr>
          <w:p>
            <w:pPr>
              <w:pStyle w:val="null3"/>
            </w:pPr>
            <w:r>
              <w:rPr>
                <w:rFonts w:ascii="仿宋_GB2312" w:hAnsi="仿宋_GB2312" w:cs="仿宋_GB2312" w:eastAsia="仿宋_GB2312"/>
              </w:rPr>
              <w:t>响应产品的技术指标无重大偏离，未造成产品档次降低或严重影响产品质量；</w:t>
            </w:r>
          </w:p>
        </w:tc>
        <w:tc>
          <w:tcPr>
            <w:tcW w:type="dxa" w:w="1661"/>
          </w:tcPr>
          <w:p>
            <w:pPr>
              <w:pStyle w:val="null3"/>
            </w:pPr>
            <w:r>
              <w:rPr>
                <w:rFonts w:ascii="仿宋_GB2312" w:hAnsi="仿宋_GB2312" w:cs="仿宋_GB2312" w:eastAsia="仿宋_GB2312"/>
              </w:rPr>
              <w:t>技术要求偏离表.docx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响应产品选型符合使用需求，产品配置完整合理，根据响应产品的技术指标对磋商文件的响应程度计分。其技术指标完全满足磋商文件要求计16分，部分项负偏离按以下说明扣分： 1、响应技术指标出现▲号项负偏离的，每项扣1分。 2、响应技术指标出现非▲号项负偏离的，每项扣0.5分，扣完为止。 注：▲号项条款偏离情况除偏离表响应外还须提供相应的指标证明文件包括但不限于制造商出具的证明文件、产品彩页、功能截图、检测报告等证明文件，否则不计分。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磋商响应方案-技术指标响应.docx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供应商针对本项目实际需求提供实施方案，实施方案包含①供货组织安排②供货进度计划③安装调试及验收方案④物力调配及保障措施。 二、评审标准： 1.完整性：内容须全面，对评审内容中的各项要求有详细描述； 2.可实施性：切合本项目实际情况，实施步骤清晰、合理； 3.针对性：方案能够紧扣项目实际情况，内容科学合理。 三、赋分标准：（满分12分） ①供货组织安排：每完全满足一项评审标准得1分，满分3分； ②供货进度计划：每完全满足一项评审标准得1分，满分3分； ③安装调试及验收方案：每完全满足一项评审标准得1分，满分3分。 ④物力调配及保障措施：每完全满足一项评审标准得1分，满分3分。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供应商针对本项目提供质量保证，质量保证包含：①实施标准及质量保证措施②产品来源渠道证明及产品质量承诺③备品备件及易耗品投入计划及价格等。 二、评审标准： 1.完整性：内容须全面，对评审内容中的各项要求有详细描述； 2.可实施性：切合本项目实际情况，实施步骤清晰、合理； 3.针对性：方案能够紧扣项目实际情况，内容科学合理。 三、赋分标准：（满分9分） ①实施标准及质量保证措施：每完全满足一项评审标准得1分，满分3分； ②产品来源渠道证明及产品质量承诺：每完全满足一项评审标准得1分，满分3分。 ③备品备件投入计划：每完全满足一项评审标准得1分，满分3分。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供应商针对本项目实际情况提供应急预案，应急预案包含：①出现质量问题时的紧急处理措施②遇到突发事故时的应急处理方案③故障响应时技术保障方案。 二、评审标准： 1.完整性：内容须全面，对评审内容中的各项要求有详细描述； 2.可实施性：切合本项目实际情况，实施步骤清晰、合理； 3.针对性：方案能够紧扣项目实际情况，内容科学合理。 三、赋分标准：（满分9分） ①出现质量问题时的紧急处理措施：每完全满足一项评审标准得1分，满分3分； ②遇到突发事故时的应急处理方案：每完全满足一项评审标准得1分，满分3分； ③故障响应时技术保障方案：每完全满足一项评审标准得1分，满分3分。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磋商响应方案-应急预案.docx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供应商针对本项目提供人员配备计划，包含：①人员配备清单及分工情况②人员的组织架构及岗位职责等。 二、评审标准： 1.完整性：内容须全面，对评审内容中的各项要求有详细描述； 2.可实施性：切合本项目实际情况，实施步骤清晰、合理； 3.针对性：方案能够紧扣项目实际情况，内容科学合理。 三、赋分标准：（满分6分） ①人员配备清单及分工情况：每完全满足一项评审标准得1分，满分3分； ②人员的组织架构及岗位职责：每完全满足一项评审标准得1分，满分3分。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供应商针对本项目提供培训方案，培训方案包含：①培训计划②培训内容③培训方式和目标。 二、评审标准： 1.完整性及针对性：内容须全面，对评审内容中的各项要求有详细描述，方案能够紧扣项目实际情况，内容科学合理。 2.可实施性：切合本项目实际情况，提出步骤清晰、合理的方案。 三、赋分标准：（满分6分） ①培训计划：每完全满足一项评审标准得1分，满分2分； ②培训内容：每完全满足一项评审标准得1分，满分2分。 ③培训方式和目标：每完全满足一项评审标准得1分，满分2分。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供应商针对本项目提供售后服务，售后服务包含：①售后服务内容及保障②服务响应时间及承诺③售后服务定期巡检方案及人员安排。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三、赋分标准：（满分6分） ①售后服务内容及保障：每完全满足一项评审标准得1.0分，满分2分； ②服务响应时间及承诺：每完全满足一项评审标准得1.0分，满分2分； ③售后服务定期巡检方案及人员安排：每完全满足一项评审标准得1.0分，满分2分。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磋商响应方案-售后服务.docx</w:t>
            </w:r>
          </w:p>
          <w:p>
            <w:pPr>
              <w:pStyle w:val="null3"/>
            </w:pPr>
            <w:r>
              <w:rPr>
                <w:rFonts w:ascii="仿宋_GB2312" w:hAnsi="仿宋_GB2312" w:cs="仿宋_GB2312" w:eastAsia="仿宋_GB2312"/>
              </w:rPr>
              <w:t>供应商需要加以说明的其他内容.docx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提供所投产品2022年7月1日至今同类产品销售业绩（以合同签订之日为准），每提供一份业绩证明文件得2分，满分6分。 （须提供完整合同复印件并加盖供应商公章，否则不计分）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详见附件：磋商响应方案-技术指标响应.docx</w:t>
      </w:r>
    </w:p>
    <w:p>
      <w:pPr>
        <w:pStyle w:val="null3"/>
        <w:ind w:firstLine="960"/>
      </w:pPr>
      <w:r>
        <w:rPr>
          <w:rFonts w:ascii="仿宋_GB2312" w:hAnsi="仿宋_GB2312" w:cs="仿宋_GB2312" w:eastAsia="仿宋_GB2312"/>
        </w:rPr>
        <w:t>详见附件：磋商响应方案-实施方案.docx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详见附件：磋商响应方案-应急预案.docx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详见附件：磋商响应方案-培训方案.docx</w:t>
      </w:r>
    </w:p>
    <w:p>
      <w:pPr>
        <w:pStyle w:val="null3"/>
        <w:ind w:firstLine="960"/>
      </w:pPr>
      <w:r>
        <w:rPr>
          <w:rFonts w:ascii="仿宋_GB2312" w:hAnsi="仿宋_GB2312" w:cs="仿宋_GB2312" w:eastAsia="仿宋_GB2312"/>
        </w:rPr>
        <w:t>详见附件：磋商响应方案-售后服务.docx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详见附件：供应商需要加以说明的其他内容.docx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