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A58542">
      <w:pPr>
        <w:pStyle w:val="2"/>
        <w:spacing w:before="230" w:after="230"/>
        <w:rPr>
          <w:color w:val="C00000"/>
        </w:rPr>
      </w:pPr>
      <w:r>
        <w:rPr>
          <w:rFonts w:hint="eastAsia"/>
        </w:rPr>
        <w:t>合同文本</w:t>
      </w:r>
    </w:p>
    <w:p w14:paraId="41F60992">
      <w:pPr>
        <w:jc w:val="center"/>
        <w:rPr>
          <w:color w:val="C00000"/>
        </w:rPr>
      </w:pPr>
      <w:r>
        <w:rPr>
          <w:color w:val="C00000"/>
        </w:rPr>
        <w:t>（本合同为中小企业预留合同）</w:t>
      </w:r>
    </w:p>
    <w:p w14:paraId="16DA02A7">
      <w:pPr>
        <w:spacing w:before="230" w:beforeLines="50" w:line="360" w:lineRule="auto"/>
        <w:ind w:firstLine="482" w:firstLineChars="200"/>
        <w:jc w:val="both"/>
        <w:rPr>
          <w:rFonts w:hint="default" w:eastAsiaTheme="minorEastAsia"/>
          <w:b/>
          <w:u w:val="single"/>
          <w:lang w:val="en-US" w:eastAsia="zh-CN"/>
        </w:rPr>
      </w:pPr>
      <w:r>
        <w:rPr>
          <w:b/>
        </w:rPr>
        <w:t>甲方（采购人）：</w:t>
      </w:r>
      <w:r>
        <w:rPr>
          <w:rFonts w:hint="eastAsia"/>
          <w:b/>
          <w:u w:val="single"/>
          <w:lang w:val="en-US" w:eastAsia="zh-CN"/>
        </w:rPr>
        <w:t xml:space="preserve">                        </w:t>
      </w:r>
    </w:p>
    <w:p w14:paraId="44A487A0">
      <w:pPr>
        <w:spacing w:line="360" w:lineRule="auto"/>
        <w:ind w:firstLine="482" w:firstLineChars="200"/>
        <w:jc w:val="both"/>
        <w:rPr>
          <w:rFonts w:hint="default" w:eastAsiaTheme="minorEastAsia"/>
          <w:b/>
          <w:u w:val="single"/>
          <w:lang w:val="en-US" w:eastAsia="zh-CN"/>
        </w:rPr>
      </w:pPr>
      <w:r>
        <w:rPr>
          <w:b/>
        </w:rPr>
        <w:t>乙方（中标供应商）：</w:t>
      </w:r>
      <w:r>
        <w:rPr>
          <w:rFonts w:hint="eastAsia"/>
          <w:b/>
          <w:lang w:val="en-US" w:eastAsia="zh-CN"/>
        </w:rPr>
        <w:t xml:space="preserve"> </w:t>
      </w:r>
      <w:r>
        <w:rPr>
          <w:rFonts w:hint="eastAsia"/>
          <w:b/>
          <w:u w:val="single"/>
          <w:lang w:val="en-US" w:eastAsia="zh-CN"/>
        </w:rPr>
        <w:t xml:space="preserve">                   </w:t>
      </w:r>
    </w:p>
    <w:p w14:paraId="4B4E5617">
      <w:pPr>
        <w:spacing w:line="400" w:lineRule="exact"/>
        <w:ind w:firstLine="560" w:firstLineChars="200"/>
        <w:rPr>
          <w:rFonts w:asciiTheme="minorEastAsia" w:hAnsiTheme="minorEastAsia"/>
          <w:sz w:val="28"/>
          <w:szCs w:val="28"/>
        </w:rPr>
      </w:pPr>
    </w:p>
    <w:p w14:paraId="7B5CAB0C">
      <w:pPr>
        <w:spacing w:line="440" w:lineRule="exact"/>
        <w:ind w:firstLine="480" w:firstLineChars="200"/>
        <w:rPr>
          <w:rFonts w:asciiTheme="minorEastAsia" w:hAnsiTheme="minorEastAsia"/>
        </w:rPr>
      </w:pPr>
      <w:r>
        <w:rPr>
          <w:rFonts w:hint="eastAsia" w:asciiTheme="minorEastAsia" w:hAnsiTheme="minorEastAsia"/>
        </w:rPr>
        <w:t>甲方所需服务在西安市财政局政府采购管理处的监督管理下，按照政府采购程序组织公开招标，确定乙方为</w:t>
      </w:r>
      <w:r>
        <w:rPr>
          <w:rFonts w:hint="eastAsia" w:asciiTheme="minorEastAsia" w:hAnsiTheme="minorEastAsia"/>
          <w:u w:val="single"/>
          <w:lang w:val="en-US" w:eastAsia="zh-CN"/>
        </w:rPr>
        <w:t xml:space="preserve">         </w:t>
      </w:r>
      <w:bookmarkStart w:id="0" w:name="_GoBack"/>
      <w:bookmarkEnd w:id="0"/>
      <w:r>
        <w:rPr>
          <w:rFonts w:hint="eastAsia" w:asciiTheme="minorEastAsia" w:hAnsiTheme="minorEastAsia"/>
        </w:rPr>
        <w:t>项目中标供应商。依据《中华人民共和国政府采购法》《中华人民共和国民法典》等规定以及项目招标文件、投标文件、中标通知书，经甲、乙双方协商，达成如下合同条款。</w:t>
      </w:r>
    </w:p>
    <w:p w14:paraId="2D1ADAB4">
      <w:pPr>
        <w:tabs>
          <w:tab w:val="left" w:pos="480"/>
        </w:tabs>
        <w:spacing w:line="440" w:lineRule="exact"/>
        <w:ind w:firstLine="402" w:firstLineChars="200"/>
        <w:rPr>
          <w:rFonts w:asciiTheme="minorEastAsia" w:hAnsiTheme="minorEastAsia"/>
          <w:b/>
          <w:color w:val="000000"/>
          <w:spacing w:val="-20"/>
        </w:rPr>
      </w:pPr>
      <w:r>
        <w:rPr>
          <w:rFonts w:hint="eastAsia" w:asciiTheme="minorEastAsia" w:hAnsiTheme="minorEastAsia"/>
          <w:b/>
          <w:color w:val="000000"/>
          <w:spacing w:val="-20"/>
        </w:rPr>
        <w:t>一、合同标的物内容及数量</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1351"/>
        <w:gridCol w:w="1351"/>
        <w:gridCol w:w="1351"/>
        <w:gridCol w:w="1351"/>
        <w:gridCol w:w="1351"/>
        <w:gridCol w:w="1352"/>
      </w:tblGrid>
      <w:tr w14:paraId="15105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739" w:type="dxa"/>
            <w:tcBorders>
              <w:top w:val="single" w:color="auto" w:sz="4" w:space="0"/>
              <w:left w:val="single" w:color="auto" w:sz="4" w:space="0"/>
              <w:bottom w:val="single" w:color="auto" w:sz="4" w:space="0"/>
              <w:right w:val="single" w:color="auto" w:sz="4" w:space="0"/>
            </w:tcBorders>
            <w:vAlign w:val="center"/>
          </w:tcPr>
          <w:p w14:paraId="7A45023B">
            <w:pPr>
              <w:tabs>
                <w:tab w:val="left" w:pos="480"/>
              </w:tabs>
              <w:spacing w:line="440" w:lineRule="exact"/>
              <w:jc w:val="center"/>
              <w:rPr>
                <w:rFonts w:asciiTheme="minorEastAsia" w:hAnsiTheme="minorEastAsia"/>
                <w:color w:val="000000"/>
                <w:spacing w:val="-20"/>
              </w:rPr>
            </w:pPr>
            <w:r>
              <w:rPr>
                <w:rFonts w:hint="eastAsia" w:asciiTheme="minorEastAsia" w:hAnsiTheme="minorEastAsia"/>
                <w:color w:val="000000"/>
                <w:spacing w:val="-20"/>
              </w:rPr>
              <w:t>序号</w:t>
            </w:r>
          </w:p>
        </w:tc>
        <w:tc>
          <w:tcPr>
            <w:tcW w:w="1351" w:type="dxa"/>
            <w:tcBorders>
              <w:top w:val="single" w:color="auto" w:sz="4" w:space="0"/>
              <w:left w:val="single" w:color="auto" w:sz="4" w:space="0"/>
              <w:bottom w:val="single" w:color="auto" w:sz="4" w:space="0"/>
              <w:right w:val="single" w:color="auto" w:sz="4" w:space="0"/>
            </w:tcBorders>
            <w:vAlign w:val="center"/>
          </w:tcPr>
          <w:p w14:paraId="44737F47">
            <w:pPr>
              <w:tabs>
                <w:tab w:val="left" w:pos="480"/>
              </w:tabs>
              <w:spacing w:line="440" w:lineRule="exact"/>
              <w:jc w:val="center"/>
              <w:rPr>
                <w:rFonts w:asciiTheme="minorEastAsia" w:hAnsiTheme="minorEastAsia"/>
                <w:color w:val="000000"/>
                <w:spacing w:val="-20"/>
              </w:rPr>
            </w:pPr>
            <w:r>
              <w:rPr>
                <w:rFonts w:hint="eastAsia" w:asciiTheme="minorEastAsia" w:hAnsiTheme="minorEastAsia"/>
                <w:color w:val="000000"/>
                <w:spacing w:val="-20"/>
              </w:rPr>
              <w:t>服务名称</w:t>
            </w:r>
          </w:p>
        </w:tc>
        <w:tc>
          <w:tcPr>
            <w:tcW w:w="1351" w:type="dxa"/>
            <w:tcBorders>
              <w:top w:val="single" w:color="auto" w:sz="4" w:space="0"/>
              <w:left w:val="single" w:color="auto" w:sz="4" w:space="0"/>
              <w:bottom w:val="single" w:color="auto" w:sz="4" w:space="0"/>
              <w:right w:val="single" w:color="auto" w:sz="4" w:space="0"/>
            </w:tcBorders>
            <w:vAlign w:val="center"/>
          </w:tcPr>
          <w:p w14:paraId="1DE6ABB9">
            <w:pPr>
              <w:tabs>
                <w:tab w:val="left" w:pos="480"/>
              </w:tabs>
              <w:spacing w:line="440" w:lineRule="exact"/>
              <w:jc w:val="center"/>
              <w:rPr>
                <w:rFonts w:asciiTheme="minorEastAsia" w:hAnsiTheme="minorEastAsia"/>
                <w:color w:val="000000"/>
                <w:spacing w:val="-20"/>
              </w:rPr>
            </w:pPr>
            <w:r>
              <w:rPr>
                <w:rFonts w:hint="eastAsia" w:asciiTheme="minorEastAsia" w:hAnsiTheme="minorEastAsia"/>
                <w:color w:val="000000"/>
                <w:spacing w:val="-20"/>
              </w:rPr>
              <w:t>服务内容</w:t>
            </w:r>
          </w:p>
        </w:tc>
        <w:tc>
          <w:tcPr>
            <w:tcW w:w="1351" w:type="dxa"/>
            <w:tcBorders>
              <w:top w:val="single" w:color="auto" w:sz="4" w:space="0"/>
              <w:left w:val="single" w:color="auto" w:sz="4" w:space="0"/>
              <w:bottom w:val="single" w:color="auto" w:sz="4" w:space="0"/>
              <w:right w:val="single" w:color="auto" w:sz="4" w:space="0"/>
            </w:tcBorders>
            <w:vAlign w:val="center"/>
          </w:tcPr>
          <w:p w14:paraId="3556A562">
            <w:pPr>
              <w:tabs>
                <w:tab w:val="left" w:pos="480"/>
              </w:tabs>
              <w:spacing w:line="440" w:lineRule="exact"/>
              <w:jc w:val="center"/>
              <w:rPr>
                <w:rFonts w:asciiTheme="minorEastAsia" w:hAnsiTheme="minorEastAsia"/>
                <w:color w:val="000000"/>
                <w:spacing w:val="-20"/>
              </w:rPr>
            </w:pPr>
            <w:r>
              <w:rPr>
                <w:rFonts w:hint="eastAsia" w:asciiTheme="minorEastAsia" w:hAnsiTheme="minorEastAsia"/>
                <w:color w:val="000000"/>
                <w:spacing w:val="-20"/>
              </w:rPr>
              <w:t>计量单位</w:t>
            </w:r>
          </w:p>
        </w:tc>
        <w:tc>
          <w:tcPr>
            <w:tcW w:w="1351" w:type="dxa"/>
            <w:tcBorders>
              <w:top w:val="single" w:color="auto" w:sz="4" w:space="0"/>
              <w:left w:val="single" w:color="auto" w:sz="4" w:space="0"/>
              <w:bottom w:val="single" w:color="auto" w:sz="4" w:space="0"/>
              <w:right w:val="single" w:color="auto" w:sz="4" w:space="0"/>
            </w:tcBorders>
            <w:vAlign w:val="center"/>
          </w:tcPr>
          <w:p w14:paraId="58137DE3">
            <w:pPr>
              <w:tabs>
                <w:tab w:val="left" w:pos="480"/>
              </w:tabs>
              <w:spacing w:line="440" w:lineRule="exact"/>
              <w:jc w:val="center"/>
              <w:rPr>
                <w:rFonts w:asciiTheme="minorEastAsia" w:hAnsiTheme="minorEastAsia"/>
                <w:color w:val="000000"/>
                <w:spacing w:val="-20"/>
              </w:rPr>
            </w:pPr>
            <w:r>
              <w:rPr>
                <w:rFonts w:hint="eastAsia" w:asciiTheme="minorEastAsia" w:hAnsiTheme="minorEastAsia"/>
                <w:color w:val="000000"/>
                <w:spacing w:val="-20"/>
              </w:rPr>
              <w:t>服务时间</w:t>
            </w:r>
          </w:p>
        </w:tc>
        <w:tc>
          <w:tcPr>
            <w:tcW w:w="1351" w:type="dxa"/>
            <w:tcBorders>
              <w:top w:val="single" w:color="auto" w:sz="4" w:space="0"/>
              <w:left w:val="single" w:color="auto" w:sz="4" w:space="0"/>
              <w:bottom w:val="single" w:color="auto" w:sz="4" w:space="0"/>
              <w:right w:val="single" w:color="auto" w:sz="4" w:space="0"/>
            </w:tcBorders>
            <w:vAlign w:val="center"/>
          </w:tcPr>
          <w:p w14:paraId="7ED14CC5">
            <w:pPr>
              <w:tabs>
                <w:tab w:val="left" w:pos="480"/>
              </w:tabs>
              <w:spacing w:line="440" w:lineRule="exact"/>
              <w:jc w:val="center"/>
              <w:rPr>
                <w:rFonts w:asciiTheme="minorEastAsia" w:hAnsiTheme="minorEastAsia"/>
                <w:color w:val="000000"/>
                <w:spacing w:val="-20"/>
              </w:rPr>
            </w:pPr>
            <w:r>
              <w:rPr>
                <w:rFonts w:hint="eastAsia" w:asciiTheme="minorEastAsia" w:hAnsiTheme="minorEastAsia"/>
                <w:color w:val="000000"/>
                <w:spacing w:val="-20"/>
              </w:rPr>
              <w:t>数量</w:t>
            </w:r>
          </w:p>
        </w:tc>
        <w:tc>
          <w:tcPr>
            <w:tcW w:w="1352" w:type="dxa"/>
            <w:tcBorders>
              <w:top w:val="single" w:color="auto" w:sz="4" w:space="0"/>
              <w:left w:val="single" w:color="auto" w:sz="4" w:space="0"/>
              <w:bottom w:val="single" w:color="auto" w:sz="4" w:space="0"/>
              <w:right w:val="single" w:color="auto" w:sz="4" w:space="0"/>
            </w:tcBorders>
            <w:vAlign w:val="center"/>
          </w:tcPr>
          <w:p w14:paraId="3E7B2391">
            <w:pPr>
              <w:tabs>
                <w:tab w:val="left" w:pos="480"/>
              </w:tabs>
              <w:spacing w:line="440" w:lineRule="exact"/>
              <w:jc w:val="center"/>
              <w:rPr>
                <w:rFonts w:asciiTheme="minorEastAsia" w:hAnsiTheme="minorEastAsia"/>
                <w:color w:val="000000"/>
                <w:spacing w:val="-20"/>
              </w:rPr>
            </w:pPr>
            <w:r>
              <w:rPr>
                <w:rFonts w:hint="eastAsia" w:asciiTheme="minorEastAsia" w:hAnsiTheme="minorEastAsia"/>
                <w:color w:val="000000"/>
                <w:spacing w:val="-20"/>
              </w:rPr>
              <w:t>备注</w:t>
            </w:r>
          </w:p>
        </w:tc>
      </w:tr>
      <w:tr w14:paraId="4206A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tcBorders>
              <w:top w:val="single" w:color="auto" w:sz="4" w:space="0"/>
              <w:left w:val="single" w:color="auto" w:sz="4" w:space="0"/>
              <w:bottom w:val="single" w:color="auto" w:sz="4" w:space="0"/>
              <w:right w:val="single" w:color="auto" w:sz="4" w:space="0"/>
            </w:tcBorders>
            <w:vAlign w:val="center"/>
          </w:tcPr>
          <w:p w14:paraId="2E084ECC">
            <w:pPr>
              <w:tabs>
                <w:tab w:val="left" w:pos="480"/>
              </w:tabs>
              <w:spacing w:line="440" w:lineRule="exact"/>
              <w:jc w:val="center"/>
              <w:rPr>
                <w:rFonts w:asciiTheme="minorEastAsia" w:hAnsiTheme="minorEastAsia"/>
                <w:color w:val="000000"/>
                <w:spacing w:val="-20"/>
              </w:rPr>
            </w:pPr>
            <w:r>
              <w:rPr>
                <w:rFonts w:hint="eastAsia" w:asciiTheme="minorEastAsia" w:hAnsiTheme="minorEastAsia"/>
                <w:color w:val="000000"/>
                <w:spacing w:val="-20"/>
              </w:rPr>
              <w:t>1</w:t>
            </w:r>
          </w:p>
        </w:tc>
        <w:tc>
          <w:tcPr>
            <w:tcW w:w="1351" w:type="dxa"/>
            <w:tcBorders>
              <w:top w:val="single" w:color="auto" w:sz="4" w:space="0"/>
              <w:left w:val="single" w:color="auto" w:sz="4" w:space="0"/>
              <w:bottom w:val="single" w:color="auto" w:sz="4" w:space="0"/>
              <w:right w:val="single" w:color="auto" w:sz="4" w:space="0"/>
            </w:tcBorders>
            <w:vAlign w:val="center"/>
          </w:tcPr>
          <w:p w14:paraId="0FC3BB35">
            <w:pPr>
              <w:tabs>
                <w:tab w:val="left" w:pos="480"/>
              </w:tabs>
              <w:spacing w:line="440" w:lineRule="exact"/>
              <w:jc w:val="center"/>
              <w:rPr>
                <w:rFonts w:asciiTheme="minorEastAsia" w:hAnsiTheme="minorEastAsia"/>
                <w:color w:val="000000"/>
                <w:spacing w:val="-20"/>
              </w:rPr>
            </w:pPr>
          </w:p>
        </w:tc>
        <w:tc>
          <w:tcPr>
            <w:tcW w:w="1351" w:type="dxa"/>
            <w:tcBorders>
              <w:top w:val="single" w:color="auto" w:sz="4" w:space="0"/>
              <w:left w:val="single" w:color="auto" w:sz="4" w:space="0"/>
              <w:bottom w:val="single" w:color="auto" w:sz="4" w:space="0"/>
              <w:right w:val="single" w:color="auto" w:sz="4" w:space="0"/>
            </w:tcBorders>
          </w:tcPr>
          <w:p w14:paraId="62F1A496">
            <w:pPr>
              <w:tabs>
                <w:tab w:val="left" w:pos="480"/>
              </w:tabs>
              <w:spacing w:line="440" w:lineRule="exact"/>
              <w:jc w:val="center"/>
              <w:rPr>
                <w:rFonts w:asciiTheme="minorEastAsia" w:hAnsiTheme="minorEastAsia"/>
                <w:color w:val="000000"/>
                <w:spacing w:val="-20"/>
              </w:rPr>
            </w:pPr>
          </w:p>
        </w:tc>
        <w:tc>
          <w:tcPr>
            <w:tcW w:w="1351" w:type="dxa"/>
            <w:tcBorders>
              <w:top w:val="single" w:color="auto" w:sz="4" w:space="0"/>
              <w:left w:val="single" w:color="auto" w:sz="4" w:space="0"/>
              <w:bottom w:val="single" w:color="auto" w:sz="4" w:space="0"/>
              <w:right w:val="single" w:color="auto" w:sz="4" w:space="0"/>
            </w:tcBorders>
          </w:tcPr>
          <w:p w14:paraId="6B440181">
            <w:pPr>
              <w:tabs>
                <w:tab w:val="left" w:pos="480"/>
              </w:tabs>
              <w:spacing w:line="440" w:lineRule="exact"/>
              <w:jc w:val="center"/>
              <w:rPr>
                <w:rFonts w:asciiTheme="minorEastAsia" w:hAnsiTheme="minorEastAsia"/>
                <w:color w:val="000000"/>
                <w:spacing w:val="-20"/>
              </w:rPr>
            </w:pPr>
          </w:p>
        </w:tc>
        <w:tc>
          <w:tcPr>
            <w:tcW w:w="1351" w:type="dxa"/>
            <w:tcBorders>
              <w:top w:val="single" w:color="auto" w:sz="4" w:space="0"/>
              <w:left w:val="single" w:color="auto" w:sz="4" w:space="0"/>
              <w:bottom w:val="single" w:color="auto" w:sz="4" w:space="0"/>
              <w:right w:val="single" w:color="auto" w:sz="4" w:space="0"/>
            </w:tcBorders>
            <w:vAlign w:val="center"/>
          </w:tcPr>
          <w:p w14:paraId="2AFAAB19">
            <w:pPr>
              <w:tabs>
                <w:tab w:val="left" w:pos="480"/>
              </w:tabs>
              <w:spacing w:line="440" w:lineRule="exact"/>
              <w:jc w:val="center"/>
              <w:rPr>
                <w:rFonts w:asciiTheme="minorEastAsia" w:hAnsiTheme="minorEastAsia"/>
                <w:color w:val="000000"/>
                <w:spacing w:val="-20"/>
              </w:rPr>
            </w:pPr>
          </w:p>
        </w:tc>
        <w:tc>
          <w:tcPr>
            <w:tcW w:w="1351" w:type="dxa"/>
            <w:tcBorders>
              <w:top w:val="single" w:color="auto" w:sz="4" w:space="0"/>
              <w:left w:val="single" w:color="auto" w:sz="4" w:space="0"/>
              <w:bottom w:val="single" w:color="auto" w:sz="4" w:space="0"/>
              <w:right w:val="single" w:color="auto" w:sz="4" w:space="0"/>
            </w:tcBorders>
          </w:tcPr>
          <w:p w14:paraId="6D82B406">
            <w:pPr>
              <w:tabs>
                <w:tab w:val="left" w:pos="480"/>
              </w:tabs>
              <w:spacing w:line="440" w:lineRule="exact"/>
              <w:jc w:val="center"/>
              <w:rPr>
                <w:rFonts w:asciiTheme="minorEastAsia" w:hAnsiTheme="minorEastAsia"/>
                <w:color w:val="000000"/>
                <w:spacing w:val="-20"/>
              </w:rPr>
            </w:pPr>
          </w:p>
        </w:tc>
        <w:tc>
          <w:tcPr>
            <w:tcW w:w="1352" w:type="dxa"/>
            <w:tcBorders>
              <w:top w:val="single" w:color="auto" w:sz="4" w:space="0"/>
              <w:left w:val="single" w:color="auto" w:sz="4" w:space="0"/>
              <w:bottom w:val="single" w:color="auto" w:sz="4" w:space="0"/>
              <w:right w:val="single" w:color="auto" w:sz="4" w:space="0"/>
            </w:tcBorders>
          </w:tcPr>
          <w:p w14:paraId="4A413122">
            <w:pPr>
              <w:tabs>
                <w:tab w:val="left" w:pos="480"/>
              </w:tabs>
              <w:spacing w:line="440" w:lineRule="exact"/>
              <w:jc w:val="center"/>
              <w:rPr>
                <w:rFonts w:asciiTheme="minorEastAsia" w:hAnsiTheme="minorEastAsia"/>
                <w:color w:val="000000"/>
                <w:spacing w:val="-20"/>
              </w:rPr>
            </w:pPr>
          </w:p>
        </w:tc>
      </w:tr>
      <w:tr w14:paraId="018DC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tcBorders>
              <w:top w:val="single" w:color="auto" w:sz="4" w:space="0"/>
              <w:left w:val="single" w:color="auto" w:sz="4" w:space="0"/>
              <w:bottom w:val="single" w:color="auto" w:sz="4" w:space="0"/>
              <w:right w:val="single" w:color="auto" w:sz="4" w:space="0"/>
            </w:tcBorders>
            <w:vAlign w:val="center"/>
          </w:tcPr>
          <w:p w14:paraId="1574A869">
            <w:pPr>
              <w:tabs>
                <w:tab w:val="left" w:pos="480"/>
              </w:tabs>
              <w:spacing w:line="440" w:lineRule="exact"/>
              <w:jc w:val="center"/>
              <w:rPr>
                <w:rFonts w:asciiTheme="minorEastAsia" w:hAnsiTheme="minorEastAsia"/>
                <w:color w:val="000000"/>
                <w:spacing w:val="-20"/>
              </w:rPr>
            </w:pPr>
            <w:r>
              <w:rPr>
                <w:rFonts w:hint="eastAsia" w:asciiTheme="minorEastAsia" w:hAnsiTheme="minorEastAsia"/>
                <w:color w:val="000000"/>
                <w:spacing w:val="-20"/>
              </w:rPr>
              <w:t>2</w:t>
            </w:r>
          </w:p>
        </w:tc>
        <w:tc>
          <w:tcPr>
            <w:tcW w:w="1351" w:type="dxa"/>
            <w:tcBorders>
              <w:top w:val="single" w:color="auto" w:sz="4" w:space="0"/>
              <w:left w:val="single" w:color="auto" w:sz="4" w:space="0"/>
              <w:bottom w:val="single" w:color="auto" w:sz="4" w:space="0"/>
              <w:right w:val="single" w:color="auto" w:sz="4" w:space="0"/>
            </w:tcBorders>
            <w:vAlign w:val="center"/>
          </w:tcPr>
          <w:p w14:paraId="376D7EF7">
            <w:pPr>
              <w:tabs>
                <w:tab w:val="left" w:pos="480"/>
              </w:tabs>
              <w:spacing w:line="440" w:lineRule="exact"/>
              <w:jc w:val="center"/>
              <w:rPr>
                <w:rFonts w:asciiTheme="minorEastAsia" w:hAnsiTheme="minorEastAsia"/>
                <w:color w:val="000000"/>
                <w:spacing w:val="-20"/>
              </w:rPr>
            </w:pPr>
          </w:p>
        </w:tc>
        <w:tc>
          <w:tcPr>
            <w:tcW w:w="1351" w:type="dxa"/>
            <w:tcBorders>
              <w:top w:val="single" w:color="auto" w:sz="4" w:space="0"/>
              <w:left w:val="single" w:color="auto" w:sz="4" w:space="0"/>
              <w:bottom w:val="single" w:color="auto" w:sz="4" w:space="0"/>
              <w:right w:val="single" w:color="auto" w:sz="4" w:space="0"/>
            </w:tcBorders>
          </w:tcPr>
          <w:p w14:paraId="7EAC93C2">
            <w:pPr>
              <w:tabs>
                <w:tab w:val="left" w:pos="480"/>
              </w:tabs>
              <w:spacing w:line="440" w:lineRule="exact"/>
              <w:jc w:val="center"/>
              <w:rPr>
                <w:rFonts w:asciiTheme="minorEastAsia" w:hAnsiTheme="minorEastAsia"/>
                <w:color w:val="000000"/>
                <w:spacing w:val="-20"/>
              </w:rPr>
            </w:pPr>
          </w:p>
        </w:tc>
        <w:tc>
          <w:tcPr>
            <w:tcW w:w="1351" w:type="dxa"/>
            <w:tcBorders>
              <w:top w:val="single" w:color="auto" w:sz="4" w:space="0"/>
              <w:left w:val="single" w:color="auto" w:sz="4" w:space="0"/>
              <w:bottom w:val="single" w:color="auto" w:sz="4" w:space="0"/>
              <w:right w:val="single" w:color="auto" w:sz="4" w:space="0"/>
            </w:tcBorders>
          </w:tcPr>
          <w:p w14:paraId="3DAD6500">
            <w:pPr>
              <w:tabs>
                <w:tab w:val="left" w:pos="480"/>
              </w:tabs>
              <w:spacing w:line="440" w:lineRule="exact"/>
              <w:jc w:val="center"/>
              <w:rPr>
                <w:rFonts w:asciiTheme="minorEastAsia" w:hAnsiTheme="minorEastAsia"/>
                <w:color w:val="000000"/>
                <w:spacing w:val="-20"/>
              </w:rPr>
            </w:pPr>
          </w:p>
        </w:tc>
        <w:tc>
          <w:tcPr>
            <w:tcW w:w="1351" w:type="dxa"/>
            <w:tcBorders>
              <w:top w:val="single" w:color="auto" w:sz="4" w:space="0"/>
              <w:left w:val="single" w:color="auto" w:sz="4" w:space="0"/>
              <w:bottom w:val="single" w:color="auto" w:sz="4" w:space="0"/>
              <w:right w:val="single" w:color="auto" w:sz="4" w:space="0"/>
            </w:tcBorders>
            <w:vAlign w:val="center"/>
          </w:tcPr>
          <w:p w14:paraId="40087DA7">
            <w:pPr>
              <w:tabs>
                <w:tab w:val="left" w:pos="480"/>
              </w:tabs>
              <w:spacing w:line="440" w:lineRule="exact"/>
              <w:jc w:val="center"/>
              <w:rPr>
                <w:rFonts w:asciiTheme="minorEastAsia" w:hAnsiTheme="minorEastAsia"/>
                <w:color w:val="000000"/>
                <w:spacing w:val="-20"/>
              </w:rPr>
            </w:pPr>
          </w:p>
        </w:tc>
        <w:tc>
          <w:tcPr>
            <w:tcW w:w="1351" w:type="dxa"/>
            <w:tcBorders>
              <w:top w:val="single" w:color="auto" w:sz="4" w:space="0"/>
              <w:left w:val="single" w:color="auto" w:sz="4" w:space="0"/>
              <w:bottom w:val="single" w:color="auto" w:sz="4" w:space="0"/>
              <w:right w:val="single" w:color="auto" w:sz="4" w:space="0"/>
            </w:tcBorders>
          </w:tcPr>
          <w:p w14:paraId="20C9428A">
            <w:pPr>
              <w:tabs>
                <w:tab w:val="left" w:pos="480"/>
              </w:tabs>
              <w:spacing w:line="440" w:lineRule="exact"/>
              <w:jc w:val="center"/>
              <w:rPr>
                <w:rFonts w:asciiTheme="minorEastAsia" w:hAnsiTheme="minorEastAsia"/>
                <w:color w:val="000000"/>
                <w:spacing w:val="-20"/>
              </w:rPr>
            </w:pPr>
          </w:p>
        </w:tc>
        <w:tc>
          <w:tcPr>
            <w:tcW w:w="1352" w:type="dxa"/>
            <w:tcBorders>
              <w:top w:val="single" w:color="auto" w:sz="4" w:space="0"/>
              <w:left w:val="single" w:color="auto" w:sz="4" w:space="0"/>
              <w:bottom w:val="single" w:color="auto" w:sz="4" w:space="0"/>
              <w:right w:val="single" w:color="auto" w:sz="4" w:space="0"/>
            </w:tcBorders>
          </w:tcPr>
          <w:p w14:paraId="640A7DED">
            <w:pPr>
              <w:tabs>
                <w:tab w:val="left" w:pos="480"/>
              </w:tabs>
              <w:spacing w:line="440" w:lineRule="exact"/>
              <w:jc w:val="center"/>
              <w:rPr>
                <w:rFonts w:asciiTheme="minorEastAsia" w:hAnsiTheme="minorEastAsia"/>
                <w:color w:val="000000"/>
                <w:spacing w:val="-20"/>
              </w:rPr>
            </w:pPr>
          </w:p>
        </w:tc>
      </w:tr>
      <w:tr w14:paraId="34E63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tcBorders>
              <w:top w:val="single" w:color="auto" w:sz="4" w:space="0"/>
              <w:left w:val="single" w:color="auto" w:sz="4" w:space="0"/>
              <w:bottom w:val="single" w:color="auto" w:sz="4" w:space="0"/>
              <w:right w:val="single" w:color="auto" w:sz="4" w:space="0"/>
            </w:tcBorders>
            <w:vAlign w:val="center"/>
          </w:tcPr>
          <w:p w14:paraId="36F61848">
            <w:pPr>
              <w:tabs>
                <w:tab w:val="left" w:pos="480"/>
              </w:tabs>
              <w:spacing w:line="440" w:lineRule="exact"/>
              <w:rPr>
                <w:rFonts w:asciiTheme="minorEastAsia" w:hAnsiTheme="minorEastAsia"/>
                <w:color w:val="000000"/>
                <w:spacing w:val="-20"/>
              </w:rPr>
            </w:pPr>
            <w:r>
              <w:rPr>
                <w:rFonts w:hint="eastAsia" w:asciiTheme="minorEastAsia" w:hAnsiTheme="minorEastAsia"/>
                <w:color w:val="000000"/>
                <w:spacing w:val="-20"/>
              </w:rPr>
              <w:t>合计</w:t>
            </w:r>
          </w:p>
        </w:tc>
        <w:tc>
          <w:tcPr>
            <w:tcW w:w="8107" w:type="dxa"/>
            <w:gridSpan w:val="6"/>
            <w:tcBorders>
              <w:top w:val="single" w:color="auto" w:sz="4" w:space="0"/>
              <w:left w:val="single" w:color="auto" w:sz="4" w:space="0"/>
              <w:bottom w:val="single" w:color="auto" w:sz="4" w:space="0"/>
              <w:right w:val="single" w:color="auto" w:sz="4" w:space="0"/>
            </w:tcBorders>
            <w:vAlign w:val="center"/>
          </w:tcPr>
          <w:p w14:paraId="1A0E6285">
            <w:pPr>
              <w:tabs>
                <w:tab w:val="left" w:pos="480"/>
              </w:tabs>
              <w:spacing w:line="440" w:lineRule="exact"/>
              <w:rPr>
                <w:rFonts w:asciiTheme="minorEastAsia" w:hAnsiTheme="minorEastAsia"/>
                <w:color w:val="000000"/>
                <w:spacing w:val="-20"/>
              </w:rPr>
            </w:pPr>
          </w:p>
        </w:tc>
      </w:tr>
      <w:tr w14:paraId="4DB62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tcBorders>
              <w:top w:val="single" w:color="auto" w:sz="4" w:space="0"/>
              <w:left w:val="single" w:color="auto" w:sz="4" w:space="0"/>
              <w:bottom w:val="single" w:color="auto" w:sz="4" w:space="0"/>
              <w:right w:val="single" w:color="auto" w:sz="4" w:space="0"/>
            </w:tcBorders>
            <w:vAlign w:val="center"/>
          </w:tcPr>
          <w:p w14:paraId="7EECD3C9">
            <w:pPr>
              <w:tabs>
                <w:tab w:val="left" w:pos="480"/>
              </w:tabs>
              <w:spacing w:line="440" w:lineRule="exact"/>
              <w:rPr>
                <w:rFonts w:asciiTheme="minorEastAsia" w:hAnsiTheme="minorEastAsia"/>
                <w:color w:val="000000"/>
                <w:spacing w:val="-20"/>
              </w:rPr>
            </w:pPr>
            <w:r>
              <w:rPr>
                <w:rFonts w:hint="eastAsia" w:asciiTheme="minorEastAsia" w:hAnsiTheme="minorEastAsia"/>
                <w:color w:val="000000"/>
                <w:spacing w:val="-20"/>
              </w:rPr>
              <w:t>说明</w:t>
            </w:r>
          </w:p>
        </w:tc>
        <w:tc>
          <w:tcPr>
            <w:tcW w:w="8107" w:type="dxa"/>
            <w:gridSpan w:val="6"/>
            <w:tcBorders>
              <w:top w:val="single" w:color="auto" w:sz="4" w:space="0"/>
              <w:left w:val="single" w:color="auto" w:sz="4" w:space="0"/>
              <w:bottom w:val="single" w:color="auto" w:sz="4" w:space="0"/>
              <w:right w:val="single" w:color="auto" w:sz="4" w:space="0"/>
            </w:tcBorders>
            <w:vAlign w:val="center"/>
          </w:tcPr>
          <w:p w14:paraId="5E85CA7E">
            <w:pPr>
              <w:tabs>
                <w:tab w:val="left" w:pos="480"/>
              </w:tabs>
              <w:spacing w:line="440" w:lineRule="exact"/>
              <w:rPr>
                <w:rFonts w:asciiTheme="minorEastAsia" w:hAnsiTheme="minorEastAsia"/>
                <w:color w:val="000000"/>
                <w:spacing w:val="-20"/>
              </w:rPr>
            </w:pPr>
          </w:p>
        </w:tc>
      </w:tr>
    </w:tbl>
    <w:p w14:paraId="5F69D865">
      <w:pPr>
        <w:tabs>
          <w:tab w:val="left" w:pos="480"/>
        </w:tabs>
        <w:spacing w:line="440" w:lineRule="exact"/>
        <w:ind w:firstLine="394" w:firstLineChars="196"/>
        <w:rPr>
          <w:rFonts w:cs="Calibri" w:asciiTheme="minorEastAsia" w:hAnsiTheme="minorEastAsia"/>
          <w:b/>
          <w:spacing w:val="-20"/>
        </w:rPr>
      </w:pPr>
      <w:r>
        <w:rPr>
          <w:rFonts w:asciiTheme="minorEastAsia" w:hAnsiTheme="minorEastAsia"/>
          <w:b/>
          <w:spacing w:val="-20"/>
        </w:rPr>
        <w:t>（上表仅供参考，应根据项目具体内容修改填写，详细服务内容及明细标准可附附件或详见</w:t>
      </w:r>
      <w:r>
        <w:rPr>
          <w:rFonts w:hint="eastAsia" w:asciiTheme="minorEastAsia" w:hAnsiTheme="minorEastAsia"/>
          <w:b/>
          <w:spacing w:val="-20"/>
        </w:rPr>
        <w:t>投标</w:t>
      </w:r>
      <w:r>
        <w:rPr>
          <w:rFonts w:asciiTheme="minorEastAsia" w:hAnsiTheme="minorEastAsia"/>
          <w:b/>
          <w:spacing w:val="-20"/>
        </w:rPr>
        <w:t>文件，需说明清楚）</w:t>
      </w:r>
    </w:p>
    <w:p w14:paraId="7A9F7E45">
      <w:pPr>
        <w:tabs>
          <w:tab w:val="left" w:pos="480"/>
        </w:tabs>
        <w:spacing w:line="440" w:lineRule="exact"/>
        <w:ind w:firstLine="402" w:firstLineChars="200"/>
        <w:rPr>
          <w:rFonts w:asciiTheme="minorEastAsia" w:hAnsiTheme="minorEastAsia"/>
          <w:b/>
          <w:color w:val="000000"/>
          <w:spacing w:val="-20"/>
        </w:rPr>
      </w:pPr>
      <w:r>
        <w:rPr>
          <w:rFonts w:hint="eastAsia" w:asciiTheme="minorEastAsia" w:hAnsiTheme="minorEastAsia"/>
          <w:b/>
          <w:color w:val="000000"/>
          <w:spacing w:val="-20"/>
        </w:rPr>
        <w:t>二、服务条件</w:t>
      </w:r>
    </w:p>
    <w:p w14:paraId="53BC0644">
      <w:pPr>
        <w:spacing w:line="440" w:lineRule="exact"/>
        <w:ind w:firstLine="480" w:firstLineChars="200"/>
        <w:rPr>
          <w:rFonts w:asciiTheme="minorEastAsia" w:hAnsiTheme="minorEastAsia"/>
          <w:kern w:val="2"/>
        </w:rPr>
      </w:pPr>
      <w:r>
        <w:rPr>
          <w:rFonts w:hint="eastAsia" w:asciiTheme="minorEastAsia" w:hAnsiTheme="minorEastAsia"/>
        </w:rPr>
        <w:t>（一）服务地点：甲方指定地点。</w:t>
      </w:r>
    </w:p>
    <w:p w14:paraId="6F493970">
      <w:pPr>
        <w:spacing w:line="440" w:lineRule="exact"/>
        <w:ind w:firstLine="480" w:firstLineChars="200"/>
        <w:rPr>
          <w:rFonts w:asciiTheme="minorEastAsia" w:hAnsiTheme="minorEastAsia"/>
        </w:rPr>
      </w:pPr>
      <w:r>
        <w:rPr>
          <w:rFonts w:hint="eastAsia" w:asciiTheme="minorEastAsia" w:hAnsiTheme="minorEastAsia"/>
        </w:rPr>
        <w:t>（二）服务期：_______________</w:t>
      </w:r>
    </w:p>
    <w:p w14:paraId="672D7C9D">
      <w:pPr>
        <w:tabs>
          <w:tab w:val="left" w:pos="480"/>
        </w:tabs>
        <w:spacing w:line="440" w:lineRule="exact"/>
        <w:ind w:firstLine="402" w:firstLineChars="200"/>
        <w:rPr>
          <w:rFonts w:asciiTheme="minorEastAsia" w:hAnsiTheme="minorEastAsia"/>
          <w:b/>
          <w:color w:val="000000"/>
          <w:spacing w:val="-20"/>
        </w:rPr>
      </w:pPr>
      <w:r>
        <w:rPr>
          <w:rFonts w:hint="eastAsia" w:asciiTheme="minorEastAsia" w:hAnsiTheme="minorEastAsia"/>
          <w:b/>
          <w:color w:val="000000"/>
          <w:spacing w:val="-20"/>
        </w:rPr>
        <w:t>三、合同价款</w:t>
      </w:r>
    </w:p>
    <w:p w14:paraId="571287D9">
      <w:pPr>
        <w:spacing w:line="440" w:lineRule="exact"/>
        <w:ind w:firstLine="480" w:firstLineChars="200"/>
        <w:rPr>
          <w:rFonts w:asciiTheme="minorEastAsia" w:hAnsiTheme="minorEastAsia"/>
        </w:rPr>
      </w:pPr>
      <w:r>
        <w:rPr>
          <w:rFonts w:hint="eastAsia" w:asciiTheme="minorEastAsia" w:hAnsiTheme="minorEastAsia"/>
        </w:rPr>
        <w:t>（一）合同总价款为人民币（大写）______________；</w:t>
      </w:r>
      <w:r>
        <w:rPr>
          <w:rFonts w:cs="Calibri" w:asciiTheme="minorEastAsia" w:hAnsiTheme="minorEastAsia"/>
        </w:rPr>
        <w:t>¥</w:t>
      </w:r>
      <w:r>
        <w:rPr>
          <w:rFonts w:hint="eastAsia" w:asciiTheme="minorEastAsia" w:hAnsiTheme="minorEastAsia"/>
        </w:rPr>
        <w:t>_______元。</w:t>
      </w:r>
    </w:p>
    <w:p w14:paraId="7CF2707C">
      <w:pPr>
        <w:pStyle w:val="4"/>
        <w:spacing w:line="440" w:lineRule="exact"/>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（二）合同总价已包含但不限于乙方为提供服务所产生的全部成本、预期利益、售后服务、税费和合同中规定乙方应承担的其他义务的费用等。</w:t>
      </w:r>
    </w:p>
    <w:p w14:paraId="7BD25162">
      <w:pPr>
        <w:spacing w:line="440" w:lineRule="exact"/>
        <w:ind w:firstLine="480" w:firstLineChars="200"/>
        <w:rPr>
          <w:rFonts w:asciiTheme="minorEastAsia" w:hAnsiTheme="minorEastAsia"/>
        </w:rPr>
      </w:pPr>
      <w:r>
        <w:rPr>
          <w:rFonts w:hint="eastAsia" w:asciiTheme="minorEastAsia" w:hAnsiTheme="minorEastAsia"/>
        </w:rPr>
        <w:t>（三）合同总价一次性包死，不受市场价格变化因素的影响。</w:t>
      </w:r>
    </w:p>
    <w:p w14:paraId="4E89250C">
      <w:pPr>
        <w:tabs>
          <w:tab w:val="left" w:pos="480"/>
        </w:tabs>
        <w:spacing w:line="440" w:lineRule="exact"/>
        <w:ind w:firstLine="394" w:firstLineChars="196"/>
        <w:rPr>
          <w:rFonts w:asciiTheme="minorEastAsia" w:hAnsiTheme="minorEastAsia"/>
          <w:b/>
          <w:color w:val="000000"/>
          <w:spacing w:val="-20"/>
        </w:rPr>
      </w:pPr>
      <w:r>
        <w:rPr>
          <w:rFonts w:hint="eastAsia" w:asciiTheme="minorEastAsia" w:hAnsiTheme="minorEastAsia"/>
          <w:b/>
          <w:color w:val="000000"/>
          <w:spacing w:val="-20"/>
        </w:rPr>
        <w:t>四、款项</w:t>
      </w:r>
      <w:r>
        <w:rPr>
          <w:rFonts w:hint="eastAsia" w:asciiTheme="minorEastAsia" w:hAnsiTheme="minorEastAsia"/>
          <w:b/>
        </w:rPr>
        <w:t>支付、</w:t>
      </w:r>
      <w:r>
        <w:rPr>
          <w:rFonts w:hint="eastAsia" w:asciiTheme="minorEastAsia" w:hAnsiTheme="minorEastAsia"/>
          <w:b/>
          <w:color w:val="000000"/>
          <w:spacing w:val="-20"/>
        </w:rPr>
        <w:t>结算</w:t>
      </w:r>
    </w:p>
    <w:p w14:paraId="7E5F0E5A">
      <w:pPr>
        <w:pStyle w:val="5"/>
        <w:spacing w:line="440" w:lineRule="exact"/>
        <w:ind w:firstLine="480" w:firstLineChars="200"/>
        <w:rPr>
          <w:rFonts w:hint="default" w:asciiTheme="minorEastAsia" w:hAnsiTheme="minorEastAsia" w:eastAsiaTheme="minorEastAsia"/>
          <w:color w:val="262626"/>
          <w:kern w:val="2"/>
          <w:sz w:val="24"/>
          <w:szCs w:val="24"/>
          <w:u w:val="single"/>
          <w:lang w:val="en-US" w:eastAsia="zh-CN"/>
        </w:rPr>
      </w:pPr>
      <w:r>
        <w:rPr>
          <w:rFonts w:hint="eastAsia" w:asciiTheme="minorEastAsia" w:hAnsiTheme="minorEastAsia"/>
          <w:sz w:val="24"/>
          <w:szCs w:val="24"/>
        </w:rPr>
        <w:t>（一）结算：</w:t>
      </w:r>
      <w:r>
        <w:rPr>
          <w:rFonts w:hint="eastAsia" w:asciiTheme="minorEastAsia" w:hAnsiTheme="minorEastAsia"/>
          <w:sz w:val="24"/>
          <w:szCs w:val="24"/>
          <w:u w:val="single"/>
          <w:lang w:val="en-US" w:eastAsia="zh-CN"/>
        </w:rPr>
        <w:t xml:space="preserve">             </w:t>
      </w:r>
    </w:p>
    <w:p w14:paraId="1FB6A076">
      <w:pPr>
        <w:spacing w:line="440" w:lineRule="exact"/>
        <w:ind w:firstLine="480" w:firstLineChars="200"/>
        <w:rPr>
          <w:rFonts w:asciiTheme="minorEastAsia" w:hAnsiTheme="minorEastAsia"/>
        </w:rPr>
      </w:pPr>
      <w:r>
        <w:rPr>
          <w:rFonts w:hint="eastAsia" w:asciiTheme="minorEastAsia" w:hAnsiTheme="minorEastAsia"/>
        </w:rPr>
        <w:t>（二）支付方式：按</w:t>
      </w:r>
      <w:r>
        <w:rPr>
          <w:rFonts w:hint="eastAsia" w:asciiTheme="minorEastAsia" w:hAnsiTheme="minorEastAsia"/>
          <w:lang w:val="en-US" w:eastAsia="zh-CN"/>
        </w:rPr>
        <w:t>月</w:t>
      </w:r>
      <w:r>
        <w:rPr>
          <w:rFonts w:hint="eastAsia" w:asciiTheme="minorEastAsia" w:hAnsiTheme="minorEastAsia"/>
        </w:rPr>
        <w:t>支付。</w:t>
      </w:r>
    </w:p>
    <w:p w14:paraId="3C369BD2">
      <w:pPr>
        <w:spacing w:line="440" w:lineRule="exact"/>
        <w:ind w:firstLine="480" w:firstLineChars="200"/>
        <w:rPr>
          <w:rFonts w:cs="宋体" w:asciiTheme="minorEastAsia" w:hAnsiTheme="minorEastAsia"/>
          <w:bCs/>
        </w:rPr>
      </w:pPr>
      <w:r>
        <w:rPr>
          <w:rFonts w:hint="eastAsia" w:asciiTheme="minorEastAsia" w:hAnsiTheme="minorEastAsia"/>
        </w:rPr>
        <w:t>（三）付款方式：银行转账</w:t>
      </w:r>
      <w:r>
        <w:rPr>
          <w:rFonts w:hint="eastAsia" w:cs="宋体" w:asciiTheme="minorEastAsia" w:hAnsiTheme="minorEastAsia"/>
          <w:bCs/>
        </w:rPr>
        <w:t>将款项转入乙方银行账户。乙方银行账户信息如下：</w:t>
      </w:r>
    </w:p>
    <w:p w14:paraId="16048FAC">
      <w:pPr>
        <w:spacing w:line="440" w:lineRule="exact"/>
        <w:ind w:firstLine="482" w:firstLineChars="200"/>
        <w:rPr>
          <w:rFonts w:cs="宋体" w:asciiTheme="minorEastAsia" w:hAnsiTheme="minorEastAsia"/>
          <w:b/>
          <w:bCs/>
          <w:u w:val="none"/>
        </w:rPr>
      </w:pPr>
      <w:r>
        <w:rPr>
          <w:rFonts w:hint="eastAsia" w:cs="宋体" w:asciiTheme="minorEastAsia" w:hAnsiTheme="minorEastAsia"/>
          <w:b/>
          <w:bCs/>
          <w:u w:val="none"/>
        </w:rPr>
        <w:t>名  称：_____________________</w:t>
      </w:r>
    </w:p>
    <w:p w14:paraId="48087ECB">
      <w:pPr>
        <w:spacing w:line="440" w:lineRule="exact"/>
        <w:ind w:firstLine="482" w:firstLineChars="200"/>
        <w:rPr>
          <w:rFonts w:cs="宋体" w:asciiTheme="minorEastAsia" w:hAnsiTheme="minorEastAsia"/>
          <w:b/>
          <w:bCs/>
          <w:u w:val="none"/>
        </w:rPr>
      </w:pPr>
      <w:r>
        <w:rPr>
          <w:rFonts w:hint="eastAsia" w:cs="宋体" w:asciiTheme="minorEastAsia" w:hAnsiTheme="minorEastAsia"/>
          <w:b/>
          <w:bCs/>
          <w:u w:val="none"/>
        </w:rPr>
        <w:t>开户行：_____________________</w:t>
      </w:r>
    </w:p>
    <w:p w14:paraId="08F50C43">
      <w:pPr>
        <w:spacing w:line="440" w:lineRule="exact"/>
        <w:ind w:firstLine="482" w:firstLineChars="200"/>
        <w:rPr>
          <w:rFonts w:cs="宋体" w:asciiTheme="minorEastAsia" w:hAnsiTheme="minorEastAsia"/>
          <w:b/>
          <w:bCs/>
          <w:u w:val="none"/>
        </w:rPr>
      </w:pPr>
      <w:r>
        <w:rPr>
          <w:rFonts w:hint="eastAsia" w:cs="宋体" w:asciiTheme="minorEastAsia" w:hAnsiTheme="minorEastAsia"/>
          <w:b/>
          <w:bCs/>
          <w:u w:val="none"/>
        </w:rPr>
        <w:t>账  号：_____________________</w:t>
      </w:r>
    </w:p>
    <w:p w14:paraId="3BE42A00">
      <w:pPr>
        <w:spacing w:line="440" w:lineRule="exact"/>
        <w:ind w:firstLine="482" w:firstLineChars="200"/>
        <w:rPr>
          <w:rFonts w:cs="宋体" w:asciiTheme="minorEastAsia" w:hAnsiTheme="minorEastAsia"/>
          <w:b/>
          <w:bCs/>
        </w:rPr>
      </w:pPr>
      <w:r>
        <w:rPr>
          <w:rFonts w:hint="eastAsia" w:cs="宋体" w:asciiTheme="minorEastAsia" w:hAnsiTheme="minorEastAsia"/>
          <w:b/>
          <w:bCs/>
          <w:u w:val="single"/>
        </w:rPr>
        <w:t>甲方仅认可上述指定账户并向该账户付款。甲方有权拒绝向指定账户之外的任何账户付款，并且由此导致的付款延迟责任由乙方承担。</w:t>
      </w:r>
    </w:p>
    <w:p w14:paraId="3B2C1CAA">
      <w:pPr>
        <w:pStyle w:val="5"/>
        <w:spacing w:line="440" w:lineRule="exact"/>
        <w:ind w:firstLine="480" w:firstLineChars="200"/>
        <w:rPr>
          <w:rFonts w:cs="Calibri" w:asciiTheme="minorEastAsia" w:hAnsiTheme="minorEastAsia"/>
          <w:sz w:val="24"/>
          <w:szCs w:val="24"/>
        </w:rPr>
      </w:pPr>
      <w:r>
        <w:rPr>
          <w:rFonts w:hint="eastAsia" w:asciiTheme="minorEastAsia" w:hAnsiTheme="minorEastAsia"/>
          <w:sz w:val="24"/>
          <w:szCs w:val="24"/>
        </w:rPr>
        <w:t>乙方要如实开具发票，乙方开具发票出现税务争议的，乙方应承担税款、滞纳金、罚款等赔偿责任以及其他相关责任。</w:t>
      </w:r>
    </w:p>
    <w:p w14:paraId="2654775B">
      <w:pPr>
        <w:spacing w:line="440" w:lineRule="exact"/>
        <w:ind w:firstLine="402" w:firstLineChars="200"/>
        <w:rPr>
          <w:rFonts w:asciiTheme="minorEastAsia" w:hAnsiTheme="minorEastAsia"/>
          <w:b/>
          <w:color w:val="000000"/>
          <w:spacing w:val="-20"/>
        </w:rPr>
      </w:pPr>
      <w:r>
        <w:rPr>
          <w:rFonts w:hint="eastAsia" w:asciiTheme="minorEastAsia" w:hAnsiTheme="minorEastAsia"/>
          <w:b/>
          <w:color w:val="000000"/>
          <w:spacing w:val="-20"/>
        </w:rPr>
        <w:t>五、双方的权利和义务</w:t>
      </w:r>
    </w:p>
    <w:p w14:paraId="1173B07C">
      <w:pPr>
        <w:spacing w:line="440" w:lineRule="exact"/>
        <w:ind w:firstLine="480" w:firstLineChars="200"/>
        <w:rPr>
          <w:rFonts w:asciiTheme="minorEastAsia" w:hAnsiTheme="minorEastAsia"/>
          <w:kern w:val="2"/>
        </w:rPr>
      </w:pPr>
      <w:r>
        <w:rPr>
          <w:rFonts w:hint="eastAsia" w:asciiTheme="minorEastAsia" w:hAnsiTheme="minorEastAsia"/>
        </w:rPr>
        <w:t>（一）甲方的权利和义务</w:t>
      </w:r>
    </w:p>
    <w:p w14:paraId="1E463108">
      <w:pPr>
        <w:tabs>
          <w:tab w:val="left" w:pos="480"/>
        </w:tabs>
        <w:spacing w:line="440" w:lineRule="exact"/>
        <w:ind w:firstLine="480" w:firstLineChars="200"/>
        <w:rPr>
          <w:rFonts w:asciiTheme="minorEastAsia" w:hAnsiTheme="minorEastAsia"/>
        </w:rPr>
      </w:pPr>
      <w:r>
        <w:rPr>
          <w:rFonts w:hint="eastAsia" w:asciiTheme="minorEastAsia" w:hAnsiTheme="minorEastAsia"/>
        </w:rPr>
        <w:t>1.甲方有权对乙方的服务等成果进行监督核查；甲方认为服务不达标的（包括但不限于被投诉、满意度低于</w:t>
      </w:r>
      <w:r>
        <w:rPr>
          <w:rFonts w:hint="eastAsia" w:asciiTheme="minorEastAsia" w:hAnsiTheme="minorEastAsia"/>
          <w:u w:val="single"/>
        </w:rPr>
        <w:t xml:space="preserve">  %</w:t>
      </w:r>
      <w:r>
        <w:rPr>
          <w:rFonts w:hint="eastAsia" w:asciiTheme="minorEastAsia" w:hAnsiTheme="minorEastAsia"/>
        </w:rPr>
        <w:t>等），有权下达整改通知书，乙方应在接到通知书</w:t>
      </w:r>
      <w:r>
        <w:rPr>
          <w:rFonts w:hint="eastAsia" w:asciiTheme="minorEastAsia" w:hAnsiTheme="minorEastAsia"/>
          <w:u w:val="single"/>
        </w:rPr>
        <w:t xml:space="preserve">   </w:t>
      </w:r>
      <w:r>
        <w:rPr>
          <w:rFonts w:hint="eastAsia" w:asciiTheme="minorEastAsia" w:hAnsiTheme="minorEastAsia"/>
        </w:rPr>
        <w:t>日内整改合格。</w:t>
      </w:r>
    </w:p>
    <w:p w14:paraId="05D3CB4A">
      <w:pPr>
        <w:tabs>
          <w:tab w:val="left" w:pos="480"/>
        </w:tabs>
        <w:spacing w:line="440" w:lineRule="exact"/>
        <w:ind w:firstLine="480" w:firstLineChars="200"/>
        <w:rPr>
          <w:rFonts w:asciiTheme="minorEastAsia" w:hAnsiTheme="minorEastAsia"/>
        </w:rPr>
      </w:pPr>
      <w:r>
        <w:rPr>
          <w:rFonts w:hint="eastAsia" w:asciiTheme="minorEastAsia" w:hAnsiTheme="minorEastAsia"/>
        </w:rPr>
        <w:t>2.甲方依据本合同的约定及验收结果，向乙方支付款项。</w:t>
      </w:r>
    </w:p>
    <w:p w14:paraId="292A7F05">
      <w:pPr>
        <w:spacing w:line="440" w:lineRule="exact"/>
        <w:ind w:firstLine="480" w:firstLineChars="200"/>
        <w:rPr>
          <w:rFonts w:asciiTheme="minorEastAsia" w:hAnsiTheme="minorEastAsia"/>
          <w:b/>
          <w:color w:val="FF0000"/>
        </w:rPr>
      </w:pPr>
      <w:r>
        <w:rPr>
          <w:rFonts w:hint="eastAsia" w:asciiTheme="minorEastAsia" w:hAnsiTheme="minorEastAsia"/>
        </w:rPr>
        <w:t>3.</w:t>
      </w:r>
      <w:r>
        <w:rPr>
          <w:rFonts w:hint="eastAsia" w:asciiTheme="minorEastAsia" w:hAnsiTheme="minorEastAsia"/>
          <w:b/>
        </w:rPr>
        <w:t>其他条款。（参照招标、投标文件条款）</w:t>
      </w:r>
    </w:p>
    <w:p w14:paraId="5E57B1F0">
      <w:pPr>
        <w:spacing w:line="440" w:lineRule="exact"/>
        <w:ind w:firstLine="480" w:firstLineChars="200"/>
        <w:rPr>
          <w:rFonts w:asciiTheme="minorEastAsia" w:hAnsiTheme="minorEastAsia"/>
        </w:rPr>
      </w:pPr>
      <w:r>
        <w:rPr>
          <w:rFonts w:hint="eastAsia" w:asciiTheme="minorEastAsia" w:hAnsiTheme="minorEastAsia"/>
        </w:rPr>
        <w:t>（二）乙方的权利和义务</w:t>
      </w:r>
    </w:p>
    <w:p w14:paraId="65523D32">
      <w:pPr>
        <w:tabs>
          <w:tab w:val="left" w:pos="480"/>
        </w:tabs>
        <w:spacing w:line="440" w:lineRule="exact"/>
        <w:ind w:firstLine="480" w:firstLineChars="200"/>
        <w:rPr>
          <w:rFonts w:asciiTheme="minorEastAsia" w:hAnsiTheme="minorEastAsia"/>
        </w:rPr>
      </w:pPr>
      <w:r>
        <w:rPr>
          <w:rFonts w:hint="eastAsia" w:asciiTheme="minorEastAsia" w:hAnsiTheme="minorEastAsia"/>
        </w:rPr>
        <w:t>1．乙方的服务应及时有效，不得影响患者就诊；乙方应全力配合甲方的工作。</w:t>
      </w:r>
    </w:p>
    <w:p w14:paraId="1F028E6B">
      <w:pPr>
        <w:tabs>
          <w:tab w:val="left" w:pos="480"/>
        </w:tabs>
        <w:spacing w:line="440" w:lineRule="exact"/>
        <w:ind w:firstLine="480" w:firstLineChars="200"/>
        <w:rPr>
          <w:rFonts w:asciiTheme="minorEastAsia" w:hAnsiTheme="minorEastAsia"/>
        </w:rPr>
      </w:pPr>
      <w:r>
        <w:rPr>
          <w:rFonts w:hint="eastAsia" w:asciiTheme="minorEastAsia" w:hAnsiTheme="minorEastAsia"/>
        </w:rPr>
        <w:t>2.乙方应免费提供每周7天，每天24小时不间断的电话支持服务，解答甲方在使用过程中遇到的问题；乙方电话响应时间应小于</w:t>
      </w:r>
      <w:r>
        <w:rPr>
          <w:rFonts w:hint="eastAsia" w:asciiTheme="minorEastAsia" w:hAnsiTheme="minorEastAsia"/>
          <w:u w:val="single"/>
        </w:rPr>
        <w:t xml:space="preserve">  </w:t>
      </w:r>
      <w:r>
        <w:rPr>
          <w:rFonts w:hint="eastAsia" w:asciiTheme="minorEastAsia" w:hAnsiTheme="minorEastAsia"/>
        </w:rPr>
        <w:t>小时、到达现场时间不超过</w:t>
      </w:r>
      <w:r>
        <w:rPr>
          <w:rFonts w:hint="eastAsia" w:asciiTheme="minorEastAsia" w:hAnsiTheme="minorEastAsia"/>
          <w:u w:val="single"/>
        </w:rPr>
        <w:t xml:space="preserve">    </w:t>
      </w:r>
      <w:r>
        <w:rPr>
          <w:rFonts w:hint="eastAsia" w:asciiTheme="minorEastAsia" w:hAnsiTheme="minorEastAsia"/>
        </w:rPr>
        <w:t>小时、解决问题不超过</w:t>
      </w:r>
      <w:r>
        <w:rPr>
          <w:rFonts w:hint="eastAsia" w:asciiTheme="minorEastAsia" w:hAnsiTheme="minorEastAsia"/>
          <w:u w:val="single"/>
        </w:rPr>
        <w:t xml:space="preserve">    </w:t>
      </w:r>
      <w:r>
        <w:rPr>
          <w:rFonts w:hint="eastAsia" w:asciiTheme="minorEastAsia" w:hAnsiTheme="minorEastAsia"/>
        </w:rPr>
        <w:t>小时。</w:t>
      </w:r>
    </w:p>
    <w:p w14:paraId="401E5DE3">
      <w:pPr>
        <w:tabs>
          <w:tab w:val="left" w:pos="480"/>
        </w:tabs>
        <w:spacing w:line="440" w:lineRule="exact"/>
        <w:ind w:firstLine="480" w:firstLineChars="200"/>
        <w:rPr>
          <w:rFonts w:asciiTheme="minorEastAsia" w:hAnsiTheme="minorEastAsia"/>
        </w:rPr>
      </w:pPr>
      <w:r>
        <w:rPr>
          <w:rFonts w:hint="eastAsia" w:asciiTheme="minorEastAsia" w:hAnsiTheme="minorEastAsia"/>
        </w:rPr>
        <w:t>3.乙方对甲方突发公共卫生事件及各项应急预案应积极响应并派员配合协助，不得拒绝推诿。</w:t>
      </w:r>
    </w:p>
    <w:p w14:paraId="68049E16">
      <w:pPr>
        <w:tabs>
          <w:tab w:val="left" w:pos="480"/>
        </w:tabs>
        <w:spacing w:line="440" w:lineRule="exact"/>
        <w:ind w:firstLine="480" w:firstLineChars="200"/>
        <w:rPr>
          <w:rFonts w:asciiTheme="minorEastAsia" w:hAnsiTheme="minorEastAsia"/>
        </w:rPr>
      </w:pPr>
      <w:r>
        <w:rPr>
          <w:rFonts w:hint="eastAsia" w:asciiTheme="minorEastAsia" w:hAnsiTheme="minorEastAsia"/>
        </w:rPr>
        <w:t>4.及时向甲方通告本项目服务范围内有关服务的重大事项，及时配合处理投诉。</w:t>
      </w:r>
    </w:p>
    <w:p w14:paraId="14319CEB">
      <w:pPr>
        <w:tabs>
          <w:tab w:val="left" w:pos="480"/>
        </w:tabs>
        <w:spacing w:line="440" w:lineRule="exact"/>
        <w:ind w:firstLine="480" w:firstLineChars="200"/>
        <w:rPr>
          <w:rFonts w:asciiTheme="minorEastAsia" w:hAnsiTheme="minorEastAsia"/>
        </w:rPr>
      </w:pPr>
      <w:r>
        <w:rPr>
          <w:rFonts w:hint="eastAsia" w:asciiTheme="minorEastAsia" w:hAnsiTheme="minorEastAsia"/>
        </w:rPr>
        <w:t>5.乙方的服务多次（3次及以上）不能达到本合同的约定及甲方的要求，甲方有权指定第三方服务，服务费用由乙方承担。</w:t>
      </w:r>
    </w:p>
    <w:p w14:paraId="4E5D9E90">
      <w:pPr>
        <w:spacing w:line="440" w:lineRule="exact"/>
        <w:ind w:firstLine="480" w:firstLineChars="200"/>
        <w:rPr>
          <w:rFonts w:asciiTheme="minorEastAsia" w:hAnsiTheme="minorEastAsia"/>
        </w:rPr>
      </w:pPr>
      <w:r>
        <w:rPr>
          <w:rFonts w:hint="eastAsia" w:asciiTheme="minorEastAsia" w:hAnsiTheme="minorEastAsia"/>
        </w:rPr>
        <w:t>6. 乙方所供服务必须做到服务方案和方式科学、可行，人员配置合理，全面满足要求。符合国家有关服务规范要求，确保各项服务达到最佳运行效果。</w:t>
      </w:r>
    </w:p>
    <w:p w14:paraId="7898E72E">
      <w:pPr>
        <w:spacing w:line="440" w:lineRule="exact"/>
        <w:ind w:firstLine="480" w:firstLineChars="200"/>
        <w:rPr>
          <w:rFonts w:asciiTheme="minorEastAsia" w:hAnsiTheme="minorEastAsia"/>
        </w:rPr>
      </w:pPr>
      <w:r>
        <w:rPr>
          <w:rFonts w:hint="eastAsia" w:asciiTheme="minorEastAsia" w:hAnsiTheme="minorEastAsia"/>
        </w:rPr>
        <w:t>7. 未经甲方同意，乙方不得擅自将本合同服务转包第三方承担，否则应承担违约责任并赔偿甲方的损失。</w:t>
      </w:r>
    </w:p>
    <w:p w14:paraId="1CE9CCFE">
      <w:pPr>
        <w:spacing w:line="440" w:lineRule="exact"/>
        <w:ind w:firstLine="480" w:firstLineChars="200"/>
        <w:rPr>
          <w:rFonts w:asciiTheme="minorEastAsia" w:hAnsiTheme="minorEastAsia"/>
        </w:rPr>
      </w:pPr>
      <w:r>
        <w:rPr>
          <w:rFonts w:hint="eastAsia" w:asciiTheme="minorEastAsia" w:hAnsiTheme="minorEastAsia"/>
        </w:rPr>
        <w:t>8.乙方提供的服务，若发生侵权而产生的一切后果，由乙方负责。甲方保留索赔权利。</w:t>
      </w:r>
    </w:p>
    <w:p w14:paraId="5069FAB9">
      <w:pPr>
        <w:spacing w:line="440" w:lineRule="exact"/>
        <w:ind w:firstLine="480" w:firstLineChars="200"/>
        <w:rPr>
          <w:rFonts w:asciiTheme="minorEastAsia" w:hAnsiTheme="minorEastAsia"/>
        </w:rPr>
      </w:pPr>
      <w:r>
        <w:rPr>
          <w:rFonts w:hint="eastAsia" w:asciiTheme="minorEastAsia" w:hAnsiTheme="minorEastAsia"/>
        </w:rPr>
        <w:t>9.乙方向甲方提交服务实施过程中的相关资料，以便甲方日后管理和维护。</w:t>
      </w:r>
    </w:p>
    <w:p w14:paraId="0CC46BDE">
      <w:pPr>
        <w:spacing w:line="440" w:lineRule="exact"/>
        <w:ind w:firstLine="480" w:firstLineChars="200"/>
        <w:rPr>
          <w:rFonts w:asciiTheme="minorEastAsia" w:hAnsiTheme="minorEastAsia"/>
        </w:rPr>
      </w:pPr>
      <w:r>
        <w:rPr>
          <w:rFonts w:hint="eastAsia" w:asciiTheme="minorEastAsia" w:hAnsiTheme="minorEastAsia"/>
        </w:rPr>
        <w:t>9.服务承诺内容。</w:t>
      </w:r>
    </w:p>
    <w:p w14:paraId="666AE343">
      <w:pPr>
        <w:spacing w:line="440" w:lineRule="exact"/>
        <w:ind w:firstLine="480" w:firstLineChars="200"/>
        <w:rPr>
          <w:rFonts w:asciiTheme="minorEastAsia" w:hAnsiTheme="minorEastAsia"/>
        </w:rPr>
      </w:pPr>
      <w:r>
        <w:rPr>
          <w:rFonts w:hint="eastAsia" w:asciiTheme="minorEastAsia" w:hAnsiTheme="minorEastAsia"/>
        </w:rPr>
        <w:t>10.双方拟定的其他条款。</w:t>
      </w:r>
    </w:p>
    <w:p w14:paraId="2D9D6359">
      <w:pPr>
        <w:spacing w:line="440" w:lineRule="exact"/>
        <w:ind w:firstLine="480" w:firstLineChars="200"/>
        <w:rPr>
          <w:rFonts w:asciiTheme="minorEastAsia" w:hAnsiTheme="minorEastAsia"/>
        </w:rPr>
      </w:pPr>
      <w:r>
        <w:rPr>
          <w:rFonts w:hint="eastAsia" w:asciiTheme="minorEastAsia" w:hAnsiTheme="minorEastAsia"/>
        </w:rPr>
        <w:t>国家法律、法规等规定的应由乙方承担的其它责任。</w:t>
      </w:r>
    </w:p>
    <w:p w14:paraId="09F9174A">
      <w:pPr>
        <w:spacing w:line="440" w:lineRule="exact"/>
        <w:ind w:firstLine="480" w:firstLineChars="200"/>
        <w:rPr>
          <w:rFonts w:asciiTheme="minorEastAsia" w:hAnsiTheme="minorEastAsia"/>
        </w:rPr>
      </w:pPr>
      <w:r>
        <w:rPr>
          <w:rFonts w:hint="eastAsia" w:asciiTheme="minorEastAsia" w:hAnsiTheme="minorEastAsia"/>
        </w:rPr>
        <w:t>乙方按照招标、投标文件要求，向甲方提供的其他技术支持服务。</w:t>
      </w:r>
    </w:p>
    <w:p w14:paraId="33FF3013">
      <w:pPr>
        <w:spacing w:line="440" w:lineRule="exact"/>
        <w:ind w:firstLine="402" w:firstLineChars="200"/>
        <w:rPr>
          <w:rFonts w:asciiTheme="minorEastAsia" w:hAnsiTheme="minorEastAsia"/>
          <w:b/>
          <w:color w:val="000000"/>
          <w:spacing w:val="-20"/>
        </w:rPr>
      </w:pPr>
      <w:r>
        <w:rPr>
          <w:rFonts w:hint="eastAsia" w:asciiTheme="minorEastAsia" w:hAnsiTheme="minorEastAsia"/>
          <w:b/>
          <w:color w:val="000000"/>
          <w:spacing w:val="-20"/>
        </w:rPr>
        <w:t>六、验收</w:t>
      </w:r>
    </w:p>
    <w:p w14:paraId="5FE41999">
      <w:pPr>
        <w:spacing w:line="440" w:lineRule="exact"/>
        <w:ind w:firstLine="480" w:firstLineChars="200"/>
        <w:rPr>
          <w:rFonts w:asciiTheme="minorEastAsia" w:hAnsiTheme="minorEastAsia"/>
          <w:kern w:val="2"/>
        </w:rPr>
      </w:pPr>
      <w:r>
        <w:rPr>
          <w:rFonts w:hint="eastAsia" w:asciiTheme="minorEastAsia" w:hAnsiTheme="minorEastAsia"/>
        </w:rPr>
        <w:t>每服务年度末，服务内容完成后先由乙方进行自检，自检合格后邀请甲方进行验收。甲方确认乙方的自检内容后，组织乙方（必要时请有关专家）进行最终验收，验收时乙方应派员参加，共同对验收结果进行确认，并承担相关责任。验收合格后，填写项目验收单作为对服务的最终认可。</w:t>
      </w:r>
    </w:p>
    <w:p w14:paraId="4CB6F479">
      <w:pPr>
        <w:spacing w:line="440" w:lineRule="exact"/>
        <w:ind w:firstLine="480" w:firstLineChars="200"/>
        <w:rPr>
          <w:rFonts w:asciiTheme="minorEastAsia" w:hAnsiTheme="minorEastAsia"/>
        </w:rPr>
      </w:pPr>
      <w:r>
        <w:rPr>
          <w:rFonts w:hint="eastAsia" w:asciiTheme="minorEastAsia" w:hAnsiTheme="minorEastAsia"/>
        </w:rPr>
        <w:t>验收依据：</w:t>
      </w:r>
    </w:p>
    <w:p w14:paraId="21CDA365">
      <w:pPr>
        <w:spacing w:line="440" w:lineRule="exact"/>
        <w:ind w:firstLine="480" w:firstLineChars="200"/>
        <w:rPr>
          <w:rFonts w:asciiTheme="minorEastAsia" w:hAnsiTheme="minorEastAsia"/>
        </w:rPr>
      </w:pPr>
      <w:r>
        <w:rPr>
          <w:rFonts w:hint="eastAsia" w:asciiTheme="minorEastAsia" w:hAnsiTheme="minorEastAsia"/>
        </w:rPr>
        <w:t>1、招标文件、投标文件、澄清表（函）；</w:t>
      </w:r>
    </w:p>
    <w:p w14:paraId="69022092">
      <w:pPr>
        <w:spacing w:line="440" w:lineRule="exact"/>
        <w:ind w:firstLine="480" w:firstLineChars="200"/>
        <w:rPr>
          <w:rFonts w:asciiTheme="minorEastAsia" w:hAnsiTheme="minorEastAsia"/>
        </w:rPr>
      </w:pPr>
      <w:r>
        <w:rPr>
          <w:rFonts w:hint="eastAsia" w:asciiTheme="minorEastAsia" w:hAnsiTheme="minorEastAsia"/>
        </w:rPr>
        <w:t>2、本合同及附件文本（包括但不限于满意度调查表）；</w:t>
      </w:r>
    </w:p>
    <w:p w14:paraId="11A87ACD">
      <w:pPr>
        <w:spacing w:line="440" w:lineRule="exact"/>
        <w:ind w:firstLine="480" w:firstLineChars="200"/>
        <w:rPr>
          <w:rFonts w:asciiTheme="minorEastAsia" w:hAnsiTheme="minorEastAsia"/>
        </w:rPr>
      </w:pPr>
      <w:r>
        <w:rPr>
          <w:rFonts w:hint="eastAsia" w:asciiTheme="minorEastAsia" w:hAnsiTheme="minorEastAsia"/>
        </w:rPr>
        <w:t>3、国家相应的标准、规范。</w:t>
      </w:r>
    </w:p>
    <w:p w14:paraId="077BC452">
      <w:pPr>
        <w:spacing w:line="440" w:lineRule="exact"/>
        <w:ind w:firstLine="482" w:firstLineChars="200"/>
        <w:rPr>
          <w:rFonts w:asciiTheme="minorEastAsia" w:hAnsiTheme="minorEastAsia"/>
        </w:rPr>
      </w:pPr>
      <w:r>
        <w:rPr>
          <w:rFonts w:hint="eastAsia" w:asciiTheme="minorEastAsia" w:hAnsiTheme="minorEastAsia"/>
          <w:b/>
          <w:color w:val="FF0000"/>
        </w:rPr>
        <w:t>4、双方拟定的其他条款。</w:t>
      </w:r>
    </w:p>
    <w:p w14:paraId="322739F5">
      <w:pPr>
        <w:tabs>
          <w:tab w:val="left" w:pos="480"/>
        </w:tabs>
        <w:spacing w:line="440" w:lineRule="exact"/>
        <w:ind w:firstLine="394" w:firstLineChars="196"/>
        <w:rPr>
          <w:rFonts w:asciiTheme="minorEastAsia" w:hAnsiTheme="minorEastAsia"/>
          <w:b/>
          <w:color w:val="000000"/>
          <w:spacing w:val="-20"/>
        </w:rPr>
      </w:pPr>
      <w:r>
        <w:rPr>
          <w:rFonts w:hint="eastAsia" w:asciiTheme="minorEastAsia" w:hAnsiTheme="minorEastAsia"/>
          <w:b/>
          <w:color w:val="000000"/>
          <w:spacing w:val="-20"/>
        </w:rPr>
        <w:t>七、违约责任</w:t>
      </w:r>
    </w:p>
    <w:p w14:paraId="25E74060">
      <w:pPr>
        <w:spacing w:line="440" w:lineRule="exact"/>
        <w:ind w:firstLine="480" w:firstLineChars="200"/>
        <w:rPr>
          <w:rFonts w:asciiTheme="minorEastAsia" w:hAnsiTheme="minorEastAsia"/>
          <w:kern w:val="2"/>
        </w:rPr>
      </w:pPr>
      <w:r>
        <w:rPr>
          <w:rFonts w:hint="eastAsia" w:asciiTheme="minorEastAsia" w:hAnsiTheme="minorEastAsia"/>
        </w:rPr>
        <w:t>（一）按《民法典》中的相关条款及本合同的约定执行。</w:t>
      </w:r>
    </w:p>
    <w:p w14:paraId="339D6A95">
      <w:pPr>
        <w:spacing w:line="440" w:lineRule="exact"/>
        <w:ind w:firstLine="480" w:firstLineChars="200"/>
        <w:rPr>
          <w:rFonts w:asciiTheme="minorEastAsia" w:hAnsiTheme="minorEastAsia"/>
        </w:rPr>
      </w:pPr>
      <w:r>
        <w:rPr>
          <w:rFonts w:hint="eastAsia" w:asciiTheme="minorEastAsia" w:hAnsiTheme="minorEastAsia"/>
        </w:rPr>
        <w:t xml:space="preserve">（二）在合同期间内乙方未严格按照合同要求提供服务或不能满足甲方安保服务要求，甲方有权书面通知乙方限期整改。若乙方未在约定期限内整改，或整改后仍未达到甲方质量要求，则甲方有权解除合同， 乙方须赔偿由此给甲方造成的全部损失，并按甲方已支付全部安保服务费用的50%支付违约金。 </w:t>
      </w:r>
    </w:p>
    <w:p w14:paraId="390EA973">
      <w:pPr>
        <w:spacing w:line="440" w:lineRule="exact"/>
        <w:ind w:firstLine="480" w:firstLineChars="200"/>
        <w:rPr>
          <w:rFonts w:asciiTheme="minorEastAsia" w:hAnsiTheme="minorEastAsia"/>
        </w:rPr>
      </w:pPr>
      <w:r>
        <w:rPr>
          <w:rFonts w:hint="eastAsia" w:asciiTheme="minorEastAsia" w:hAnsiTheme="minorEastAsia"/>
        </w:rPr>
        <w:t xml:space="preserve"> （三）人员要求必须达到，未达到则按实际人数发放当月劳务工资。</w:t>
      </w:r>
    </w:p>
    <w:p w14:paraId="02877A05">
      <w:pPr>
        <w:spacing w:line="440" w:lineRule="exact"/>
        <w:ind w:firstLine="480" w:firstLineChars="200"/>
        <w:rPr>
          <w:rFonts w:asciiTheme="minorEastAsia" w:hAnsiTheme="minorEastAsia"/>
        </w:rPr>
      </w:pPr>
      <w:r>
        <w:rPr>
          <w:rFonts w:hint="eastAsia" w:asciiTheme="minorEastAsia" w:hAnsiTheme="minorEastAsia"/>
        </w:rPr>
        <w:t>（四）乙方不得将本项目转让、分包给其它单位或个人，否则，甲方有权解除合同，赔偿由此给甲方造成的全部损失，并按甲方已支付全部安保服务费用的30%支付违约金。</w:t>
      </w:r>
    </w:p>
    <w:p w14:paraId="2260D21B">
      <w:pPr>
        <w:spacing w:line="440" w:lineRule="exact"/>
        <w:ind w:firstLine="480" w:firstLineChars="200"/>
        <w:rPr>
          <w:rFonts w:asciiTheme="minorEastAsia" w:hAnsiTheme="minorEastAsia"/>
        </w:rPr>
      </w:pPr>
      <w:r>
        <w:rPr>
          <w:rFonts w:hint="eastAsia" w:asciiTheme="minorEastAsia" w:hAnsiTheme="minorEastAsia"/>
        </w:rPr>
        <w:t>（五）因乙方的原因造成侵权等所有纠纷的，由乙方承担所有责任；若甲方先行承担的，甲方有权向乙方追偿。</w:t>
      </w:r>
    </w:p>
    <w:p w14:paraId="776929CD">
      <w:pPr>
        <w:spacing w:line="440" w:lineRule="exact"/>
        <w:ind w:firstLine="480" w:firstLineChars="200"/>
        <w:rPr>
          <w:rFonts w:asciiTheme="minorEastAsia" w:hAnsiTheme="minorEastAsia"/>
        </w:rPr>
      </w:pPr>
      <w:r>
        <w:rPr>
          <w:rFonts w:hint="eastAsia" w:asciiTheme="minorEastAsia" w:hAnsiTheme="minorEastAsia"/>
        </w:rPr>
        <w:t xml:space="preserve"> （六）本合同所涉“赔偿甲方的损失”，包括但不限于甲方重新采购产生的所有费用、经营损失、甲方维权费用（诉讼费、律师代理费、保全费等）等直接损失和间接损失。</w:t>
      </w:r>
    </w:p>
    <w:p w14:paraId="1875A612">
      <w:pPr>
        <w:spacing w:line="440" w:lineRule="exact"/>
        <w:ind w:firstLine="480" w:firstLineChars="200"/>
        <w:rPr>
          <w:rFonts w:asciiTheme="minorEastAsia" w:hAnsiTheme="minorEastAsia"/>
        </w:rPr>
      </w:pPr>
      <w:r>
        <w:rPr>
          <w:rFonts w:hint="eastAsia" w:asciiTheme="minorEastAsia" w:hAnsiTheme="minorEastAsia"/>
        </w:rPr>
        <w:t>（七）解除本合同的，书面解除通知到达对方即解除。</w:t>
      </w:r>
    </w:p>
    <w:p w14:paraId="7470B91B">
      <w:pPr>
        <w:pStyle w:val="5"/>
        <w:spacing w:line="440" w:lineRule="exact"/>
        <w:rPr>
          <w:rFonts w:asciiTheme="minorEastAsia" w:hAnsiTheme="minorEastAsia"/>
          <w:sz w:val="24"/>
          <w:szCs w:val="24"/>
        </w:rPr>
      </w:pPr>
      <w:r>
        <w:rPr>
          <w:rFonts w:hint="eastAsia" w:asciiTheme="minorEastAsia" w:hAnsiTheme="minorEastAsia"/>
          <w:sz w:val="24"/>
          <w:szCs w:val="24"/>
        </w:rPr>
        <w:t xml:space="preserve">      </w:t>
      </w:r>
      <w:r>
        <w:rPr>
          <w:rFonts w:hint="eastAsia" w:asciiTheme="minorEastAsia" w:hAnsiTheme="minorEastAsia"/>
          <w:b/>
          <w:color w:val="FF0000"/>
          <w:sz w:val="24"/>
          <w:szCs w:val="24"/>
        </w:rPr>
        <w:t>（八）双方拟定的其他条款。</w:t>
      </w:r>
    </w:p>
    <w:p w14:paraId="237A4655">
      <w:pPr>
        <w:tabs>
          <w:tab w:val="left" w:pos="480"/>
        </w:tabs>
        <w:spacing w:line="440" w:lineRule="exact"/>
        <w:ind w:firstLine="402" w:firstLineChars="200"/>
        <w:rPr>
          <w:rFonts w:asciiTheme="minorEastAsia" w:hAnsiTheme="minorEastAsia"/>
          <w:b/>
          <w:color w:val="000000"/>
          <w:spacing w:val="-20"/>
        </w:rPr>
      </w:pPr>
      <w:r>
        <w:rPr>
          <w:rFonts w:hint="eastAsia" w:asciiTheme="minorEastAsia" w:hAnsiTheme="minorEastAsia"/>
          <w:b/>
          <w:color w:val="000000"/>
          <w:spacing w:val="-20"/>
        </w:rPr>
        <w:t>八、保密条款</w:t>
      </w:r>
    </w:p>
    <w:p w14:paraId="24E8F8BB">
      <w:pPr>
        <w:spacing w:line="440" w:lineRule="exact"/>
        <w:ind w:firstLine="480" w:firstLineChars="200"/>
        <w:rPr>
          <w:rFonts w:asciiTheme="minorEastAsia" w:hAnsiTheme="minorEastAsia"/>
          <w:kern w:val="2"/>
        </w:rPr>
      </w:pPr>
      <w:r>
        <w:rPr>
          <w:rFonts w:hint="eastAsia" w:asciiTheme="minorEastAsia" w:hAnsiTheme="minorEastAsia"/>
        </w:rPr>
        <w:t>（一）乙方应遵守国家有关保密的法律法规和行业规定，并对甲方提供的资料负有保密义务。未经甲方同意，不得将承接政府服务项目获得的政府、公民个人等各种信息和资料提供给其他单位和个人。如发生以上情况，甲方依法追究直接负责的主管人员和其他直接责任人员的责任。</w:t>
      </w:r>
    </w:p>
    <w:p w14:paraId="189AED36">
      <w:pPr>
        <w:spacing w:line="440" w:lineRule="exact"/>
        <w:ind w:firstLine="480" w:firstLineChars="200"/>
        <w:rPr>
          <w:rFonts w:asciiTheme="minorEastAsia" w:hAnsiTheme="minorEastAsia"/>
        </w:rPr>
      </w:pPr>
      <w:r>
        <w:rPr>
          <w:rFonts w:hint="eastAsia" w:asciiTheme="minorEastAsia" w:hAnsiTheme="minorEastAsia"/>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0A8AEAD7">
      <w:pPr>
        <w:spacing w:line="440" w:lineRule="exact"/>
        <w:ind w:firstLine="480" w:firstLineChars="200"/>
        <w:rPr>
          <w:rFonts w:asciiTheme="minorEastAsia" w:hAnsiTheme="minorEastAsia"/>
        </w:rPr>
      </w:pPr>
      <w:r>
        <w:rPr>
          <w:rFonts w:hint="eastAsia" w:asciiTheme="minorEastAsia" w:hAnsiTheme="minorEastAsia"/>
        </w:rPr>
        <w:t>（三）本条款为独立条款，本合同的无效、变更、解除和终止均不影响本条款的效力。</w:t>
      </w:r>
    </w:p>
    <w:p w14:paraId="0E5FF2C1">
      <w:pPr>
        <w:spacing w:line="440" w:lineRule="exact"/>
        <w:ind w:firstLine="482" w:firstLineChars="200"/>
        <w:rPr>
          <w:rFonts w:asciiTheme="minorEastAsia" w:hAnsiTheme="minorEastAsia"/>
          <w:b/>
          <w:color w:val="FF0000"/>
        </w:rPr>
      </w:pPr>
      <w:r>
        <w:rPr>
          <w:rFonts w:hint="eastAsia" w:asciiTheme="minorEastAsia" w:hAnsiTheme="minorEastAsia"/>
          <w:b/>
          <w:color w:val="FF0000"/>
        </w:rPr>
        <w:t>（四）双方拟定的其他条款。</w:t>
      </w:r>
    </w:p>
    <w:p w14:paraId="11F095E1">
      <w:pPr>
        <w:tabs>
          <w:tab w:val="left" w:pos="480"/>
        </w:tabs>
        <w:spacing w:line="440" w:lineRule="exact"/>
        <w:ind w:firstLine="402" w:firstLineChars="200"/>
        <w:rPr>
          <w:rFonts w:asciiTheme="minorEastAsia" w:hAnsiTheme="minorEastAsia"/>
          <w:b/>
          <w:color w:val="000000"/>
          <w:spacing w:val="-20"/>
        </w:rPr>
      </w:pPr>
      <w:r>
        <w:rPr>
          <w:rFonts w:hint="eastAsia" w:asciiTheme="minorEastAsia" w:hAnsiTheme="minorEastAsia"/>
          <w:b/>
          <w:color w:val="000000"/>
          <w:spacing w:val="-20"/>
        </w:rPr>
        <w:t>九、争议解决</w:t>
      </w:r>
    </w:p>
    <w:p w14:paraId="55B2A251">
      <w:pPr>
        <w:spacing w:line="440" w:lineRule="exact"/>
        <w:ind w:firstLine="480" w:firstLineChars="200"/>
        <w:rPr>
          <w:rFonts w:asciiTheme="minorEastAsia" w:hAnsiTheme="minorEastAsia"/>
          <w:kern w:val="2"/>
          <w:highlight w:val="cyan"/>
        </w:rPr>
      </w:pPr>
      <w:r>
        <w:rPr>
          <w:rFonts w:hint="eastAsia" w:asciiTheme="minorEastAsia" w:hAnsiTheme="minorEastAsia"/>
        </w:rPr>
        <w:t>本合同在履行过程中发生的争议，由甲、乙双方当事人协商解决，协商不成的依法向</w:t>
      </w:r>
      <w:r>
        <w:rPr>
          <w:rFonts w:hint="eastAsia" w:asciiTheme="minorEastAsia" w:hAnsiTheme="minorEastAsia"/>
          <w:u w:val="single"/>
        </w:rPr>
        <w:t>甲</w:t>
      </w:r>
      <w:r>
        <w:rPr>
          <w:rFonts w:hint="eastAsia" w:asciiTheme="minorEastAsia" w:hAnsiTheme="minorEastAsia"/>
        </w:rPr>
        <w:t>方所在地人民法院起诉。</w:t>
      </w:r>
    </w:p>
    <w:p w14:paraId="4109E580">
      <w:pPr>
        <w:spacing w:line="440" w:lineRule="exact"/>
        <w:ind w:firstLine="482" w:firstLineChars="200"/>
        <w:rPr>
          <w:rFonts w:asciiTheme="minorEastAsia" w:hAnsiTheme="minorEastAsia"/>
          <w:b/>
        </w:rPr>
      </w:pPr>
      <w:r>
        <w:rPr>
          <w:rFonts w:hint="eastAsia" w:asciiTheme="minorEastAsia" w:hAnsiTheme="minorEastAsia"/>
          <w:b/>
        </w:rPr>
        <w:t>十、关于送达的约定</w:t>
      </w:r>
    </w:p>
    <w:p w14:paraId="33B644CE">
      <w:pPr>
        <w:spacing w:line="440" w:lineRule="exact"/>
        <w:ind w:firstLine="480" w:firstLineChars="200"/>
        <w:rPr>
          <w:rFonts w:asciiTheme="minorEastAsia" w:hAnsiTheme="minorEastAsia"/>
        </w:rPr>
      </w:pPr>
      <w:r>
        <w:rPr>
          <w:rFonts w:hint="eastAsia" w:asciiTheme="minorEastAsia" w:hAnsiTheme="minorEastAsia"/>
        </w:rPr>
        <w:t>（一）本合同项下甲乙双方任何一方向对方发出的通知、信件、数据电文等，依据下列地址、联系人和通信终端送达。</w:t>
      </w:r>
    </w:p>
    <w:p w14:paraId="727A5C7D">
      <w:pPr>
        <w:spacing w:line="440" w:lineRule="exact"/>
        <w:ind w:left="560"/>
        <w:rPr>
          <w:rFonts w:asciiTheme="minorEastAsia" w:hAnsiTheme="minorEastAsia"/>
        </w:rPr>
      </w:pPr>
      <w:r>
        <w:rPr>
          <w:rFonts w:hint="eastAsia" w:asciiTheme="minorEastAsia" w:hAnsiTheme="minorEastAsia"/>
        </w:rPr>
        <w:t>甲方联系人:</w:t>
      </w:r>
      <w:r>
        <w:rPr>
          <w:rFonts w:asciiTheme="minorEastAsia" w:hAnsiTheme="minorEastAsia"/>
          <w:u w:val="single"/>
        </w:rPr>
        <w:t xml:space="preserve">     </w:t>
      </w:r>
    </w:p>
    <w:p w14:paraId="5B3B1674">
      <w:pPr>
        <w:spacing w:line="440" w:lineRule="exact"/>
        <w:ind w:firstLine="480" w:firstLineChars="200"/>
        <w:rPr>
          <w:rFonts w:asciiTheme="minorEastAsia" w:hAnsiTheme="minorEastAsia"/>
        </w:rPr>
      </w:pPr>
      <w:r>
        <w:rPr>
          <w:rFonts w:hint="eastAsia" w:asciiTheme="minorEastAsia" w:hAnsiTheme="minorEastAsia"/>
        </w:rPr>
        <w:t>联系电话:</w:t>
      </w:r>
      <w:r>
        <w:rPr>
          <w:rFonts w:asciiTheme="minorEastAsia" w:hAnsiTheme="minorEastAsia"/>
          <w:u w:val="single"/>
        </w:rPr>
        <w:t xml:space="preserve">           </w:t>
      </w:r>
    </w:p>
    <w:p w14:paraId="04D9417A">
      <w:pPr>
        <w:spacing w:line="440" w:lineRule="exact"/>
        <w:ind w:firstLine="480" w:firstLineChars="200"/>
        <w:rPr>
          <w:rFonts w:asciiTheme="minorEastAsia" w:hAnsiTheme="minorEastAsia"/>
        </w:rPr>
      </w:pPr>
      <w:r>
        <w:rPr>
          <w:rFonts w:hint="eastAsia" w:asciiTheme="minorEastAsia" w:hAnsiTheme="minorEastAsia"/>
        </w:rPr>
        <w:t>联系地址:</w:t>
      </w:r>
      <w:r>
        <w:rPr>
          <w:rFonts w:asciiTheme="minorEastAsia" w:hAnsiTheme="minorEastAsia"/>
          <w:u w:val="single"/>
        </w:rPr>
        <w:t xml:space="preserve">           </w:t>
      </w:r>
      <w:r>
        <w:rPr>
          <w:rFonts w:hint="eastAsia" w:asciiTheme="minorEastAsia" w:hAnsiTheme="minorEastAsia"/>
        </w:rPr>
        <w:t>，邮编:</w:t>
      </w:r>
      <w:r>
        <w:rPr>
          <w:rFonts w:asciiTheme="minorEastAsia" w:hAnsiTheme="minorEastAsia"/>
          <w:u w:val="single"/>
        </w:rPr>
        <w:t xml:space="preserve">           </w:t>
      </w:r>
      <w:r>
        <w:rPr>
          <w:rFonts w:hint="eastAsia" w:asciiTheme="minorEastAsia" w:hAnsiTheme="minorEastAsia"/>
        </w:rPr>
        <w:t>。</w:t>
      </w:r>
    </w:p>
    <w:p w14:paraId="1DB196ED">
      <w:pPr>
        <w:spacing w:line="440" w:lineRule="exact"/>
        <w:ind w:firstLine="480" w:firstLineChars="200"/>
        <w:rPr>
          <w:rFonts w:asciiTheme="minorEastAsia" w:hAnsiTheme="minorEastAsia"/>
        </w:rPr>
      </w:pPr>
      <w:r>
        <w:rPr>
          <w:rFonts w:hint="eastAsia" w:asciiTheme="minorEastAsia" w:hAnsiTheme="minorEastAsia"/>
        </w:rPr>
        <w:t>甲方(□同意□不同意)接受电子文件送达，电子终端信息如下:</w:t>
      </w:r>
    </w:p>
    <w:p w14:paraId="40F7BF04">
      <w:pPr>
        <w:spacing w:line="440" w:lineRule="exact"/>
        <w:ind w:firstLine="480" w:firstLineChars="200"/>
        <w:rPr>
          <w:rFonts w:asciiTheme="minorEastAsia" w:hAnsiTheme="minorEastAsia"/>
        </w:rPr>
      </w:pPr>
      <w:r>
        <w:rPr>
          <w:rFonts w:hint="eastAsia" w:asciiTheme="minorEastAsia" w:hAnsiTheme="minorEastAsia"/>
        </w:rPr>
        <w:t>移动电话:</w:t>
      </w:r>
      <w:r>
        <w:rPr>
          <w:rFonts w:asciiTheme="minorEastAsia" w:hAnsiTheme="minorEastAsia"/>
          <w:u w:val="single"/>
        </w:rPr>
        <w:t xml:space="preserve">           </w:t>
      </w:r>
      <w:r>
        <w:rPr>
          <w:rFonts w:hint="eastAsia" w:asciiTheme="minorEastAsia" w:hAnsiTheme="minorEastAsia"/>
        </w:rPr>
        <w:t>，传真:</w:t>
      </w:r>
      <w:r>
        <w:rPr>
          <w:rFonts w:asciiTheme="minorEastAsia" w:hAnsiTheme="minorEastAsia"/>
          <w:u w:val="single"/>
        </w:rPr>
        <w:t xml:space="preserve">           </w:t>
      </w:r>
      <w:r>
        <w:rPr>
          <w:rFonts w:hint="eastAsia" w:asciiTheme="minorEastAsia" w:hAnsiTheme="minorEastAsia"/>
        </w:rPr>
        <w:t>，微信号:</w:t>
      </w:r>
      <w:r>
        <w:rPr>
          <w:rFonts w:asciiTheme="minorEastAsia" w:hAnsiTheme="minorEastAsia"/>
          <w:u w:val="single"/>
        </w:rPr>
        <w:t xml:space="preserve">           </w:t>
      </w:r>
      <w:r>
        <w:rPr>
          <w:rFonts w:hint="eastAsia" w:asciiTheme="minorEastAsia" w:hAnsiTheme="minorEastAsia"/>
        </w:rPr>
        <w:t>，</w:t>
      </w:r>
    </w:p>
    <w:p w14:paraId="7B67C9C7">
      <w:pPr>
        <w:spacing w:line="440" w:lineRule="exact"/>
        <w:ind w:firstLine="480" w:firstLineChars="200"/>
        <w:rPr>
          <w:rFonts w:asciiTheme="minorEastAsia" w:hAnsiTheme="minorEastAsia"/>
        </w:rPr>
      </w:pPr>
      <w:r>
        <w:rPr>
          <w:rFonts w:hint="eastAsia" w:asciiTheme="minorEastAsia" w:hAnsiTheme="minorEastAsia"/>
        </w:rPr>
        <w:t>电子邮箱:</w:t>
      </w:r>
      <w:r>
        <w:rPr>
          <w:rFonts w:asciiTheme="minorEastAsia" w:hAnsiTheme="minorEastAsia"/>
          <w:u w:val="single"/>
        </w:rPr>
        <w:t xml:space="preserve">           </w:t>
      </w:r>
      <w:r>
        <w:rPr>
          <w:rFonts w:hint="eastAsia" w:asciiTheme="minorEastAsia" w:hAnsiTheme="minorEastAsia"/>
        </w:rPr>
        <w:t>。</w:t>
      </w:r>
    </w:p>
    <w:p w14:paraId="57B4C284">
      <w:pPr>
        <w:spacing w:line="440" w:lineRule="exact"/>
        <w:ind w:firstLine="480" w:firstLineChars="200"/>
        <w:rPr>
          <w:rFonts w:asciiTheme="minorEastAsia" w:hAnsiTheme="minorEastAsia"/>
        </w:rPr>
      </w:pPr>
      <w:r>
        <w:rPr>
          <w:rFonts w:hint="eastAsia" w:asciiTheme="minorEastAsia" w:hAnsiTheme="minorEastAsia"/>
        </w:rPr>
        <w:t>乙方联系人:</w:t>
      </w:r>
      <w:r>
        <w:rPr>
          <w:rFonts w:asciiTheme="minorEastAsia" w:hAnsiTheme="minorEastAsia"/>
          <w:u w:val="single"/>
        </w:rPr>
        <w:t xml:space="preserve">     </w:t>
      </w:r>
      <w:r>
        <w:rPr>
          <w:rFonts w:hint="eastAsia" w:asciiTheme="minorEastAsia" w:hAnsiTheme="minorEastAsia"/>
        </w:rPr>
        <w:t>，</w:t>
      </w:r>
    </w:p>
    <w:p w14:paraId="4C971918">
      <w:pPr>
        <w:spacing w:line="440" w:lineRule="exact"/>
        <w:ind w:firstLine="480" w:firstLineChars="200"/>
        <w:rPr>
          <w:rFonts w:asciiTheme="minorEastAsia" w:hAnsiTheme="minorEastAsia"/>
        </w:rPr>
      </w:pPr>
      <w:r>
        <w:rPr>
          <w:rFonts w:hint="eastAsia" w:asciiTheme="minorEastAsia" w:hAnsiTheme="minorEastAsia"/>
        </w:rPr>
        <w:t>联系电话:</w:t>
      </w:r>
      <w:r>
        <w:rPr>
          <w:rFonts w:asciiTheme="minorEastAsia" w:hAnsiTheme="minorEastAsia"/>
          <w:u w:val="single"/>
        </w:rPr>
        <w:t xml:space="preserve">           </w:t>
      </w:r>
      <w:r>
        <w:rPr>
          <w:rFonts w:hint="eastAsia" w:asciiTheme="minorEastAsia" w:hAnsiTheme="minorEastAsia"/>
        </w:rPr>
        <w:t>，</w:t>
      </w:r>
    </w:p>
    <w:p w14:paraId="5BAA9113">
      <w:pPr>
        <w:spacing w:line="440" w:lineRule="exact"/>
        <w:ind w:firstLine="480" w:firstLineChars="200"/>
        <w:rPr>
          <w:rFonts w:asciiTheme="minorEastAsia" w:hAnsiTheme="minorEastAsia"/>
        </w:rPr>
      </w:pPr>
      <w:r>
        <w:rPr>
          <w:rFonts w:hint="eastAsia" w:asciiTheme="minorEastAsia" w:hAnsiTheme="minorEastAsia"/>
        </w:rPr>
        <w:t>联系地址:</w:t>
      </w:r>
      <w:r>
        <w:rPr>
          <w:rFonts w:asciiTheme="minorEastAsia" w:hAnsiTheme="minorEastAsia"/>
          <w:u w:val="single"/>
        </w:rPr>
        <w:t xml:space="preserve">           </w:t>
      </w:r>
      <w:r>
        <w:rPr>
          <w:rFonts w:hint="eastAsia" w:asciiTheme="minorEastAsia" w:hAnsiTheme="minorEastAsia"/>
        </w:rPr>
        <w:t>，邮编:</w:t>
      </w:r>
      <w:r>
        <w:rPr>
          <w:rFonts w:asciiTheme="minorEastAsia" w:hAnsiTheme="minorEastAsia"/>
          <w:u w:val="single"/>
        </w:rPr>
        <w:t xml:space="preserve">           </w:t>
      </w:r>
      <w:r>
        <w:rPr>
          <w:rFonts w:hint="eastAsia" w:asciiTheme="minorEastAsia" w:hAnsiTheme="minorEastAsia"/>
        </w:rPr>
        <w:t>。</w:t>
      </w:r>
    </w:p>
    <w:p w14:paraId="59E87BE9">
      <w:pPr>
        <w:spacing w:line="440" w:lineRule="exact"/>
        <w:ind w:left="240" w:leftChars="100" w:firstLine="240" w:firstLineChars="100"/>
        <w:rPr>
          <w:rFonts w:asciiTheme="minorEastAsia" w:hAnsiTheme="minorEastAsia"/>
        </w:rPr>
      </w:pPr>
      <w:r>
        <w:rPr>
          <w:rFonts w:hint="eastAsia" w:asciiTheme="minorEastAsia" w:hAnsiTheme="minorEastAsia"/>
        </w:rPr>
        <w:t>乙方(□同意□不同意)接受电子文件送达，电子终端信息如下:</w:t>
      </w:r>
    </w:p>
    <w:p w14:paraId="3D9D283C">
      <w:pPr>
        <w:spacing w:line="440" w:lineRule="exact"/>
        <w:ind w:firstLine="480" w:firstLineChars="200"/>
        <w:rPr>
          <w:rFonts w:asciiTheme="minorEastAsia" w:hAnsiTheme="minorEastAsia"/>
        </w:rPr>
      </w:pPr>
      <w:r>
        <w:rPr>
          <w:rFonts w:hint="eastAsia" w:asciiTheme="minorEastAsia" w:hAnsiTheme="minorEastAsia"/>
        </w:rPr>
        <w:t>移动电话:</w:t>
      </w:r>
      <w:r>
        <w:rPr>
          <w:rFonts w:asciiTheme="minorEastAsia" w:hAnsiTheme="minorEastAsia"/>
          <w:u w:val="single"/>
        </w:rPr>
        <w:t xml:space="preserve">           </w:t>
      </w:r>
      <w:r>
        <w:rPr>
          <w:rFonts w:hint="eastAsia" w:asciiTheme="minorEastAsia" w:hAnsiTheme="minorEastAsia"/>
        </w:rPr>
        <w:t>，传真:</w:t>
      </w:r>
      <w:r>
        <w:rPr>
          <w:rFonts w:asciiTheme="minorEastAsia" w:hAnsiTheme="minorEastAsia"/>
          <w:u w:val="single"/>
        </w:rPr>
        <w:t xml:space="preserve">           </w:t>
      </w:r>
      <w:r>
        <w:rPr>
          <w:rFonts w:hint="eastAsia" w:asciiTheme="minorEastAsia" w:hAnsiTheme="minorEastAsia"/>
        </w:rPr>
        <w:t>，微信号:</w:t>
      </w:r>
      <w:r>
        <w:rPr>
          <w:rFonts w:asciiTheme="minorEastAsia" w:hAnsiTheme="minorEastAsia"/>
          <w:u w:val="single"/>
        </w:rPr>
        <w:t xml:space="preserve">           </w:t>
      </w:r>
      <w:r>
        <w:rPr>
          <w:rFonts w:hint="eastAsia" w:asciiTheme="minorEastAsia" w:hAnsiTheme="minorEastAsia"/>
        </w:rPr>
        <w:t>，</w:t>
      </w:r>
    </w:p>
    <w:p w14:paraId="586D1744">
      <w:pPr>
        <w:spacing w:line="440" w:lineRule="exact"/>
        <w:ind w:firstLine="480" w:firstLineChars="200"/>
        <w:rPr>
          <w:rFonts w:asciiTheme="minorEastAsia" w:hAnsiTheme="minorEastAsia"/>
        </w:rPr>
      </w:pPr>
      <w:r>
        <w:rPr>
          <w:rFonts w:hint="eastAsia" w:asciiTheme="minorEastAsia" w:hAnsiTheme="minorEastAsia"/>
        </w:rPr>
        <w:t>电子邮箱:</w:t>
      </w:r>
      <w:r>
        <w:rPr>
          <w:rFonts w:asciiTheme="minorEastAsia" w:hAnsiTheme="minorEastAsia"/>
          <w:u w:val="single"/>
        </w:rPr>
        <w:t xml:space="preserve">           </w:t>
      </w:r>
      <w:r>
        <w:rPr>
          <w:rFonts w:hint="eastAsia" w:asciiTheme="minorEastAsia" w:hAnsiTheme="minorEastAsia"/>
        </w:rPr>
        <w:t>。</w:t>
      </w:r>
    </w:p>
    <w:p w14:paraId="6C226324">
      <w:pPr>
        <w:spacing w:line="440" w:lineRule="exact"/>
        <w:ind w:firstLine="480" w:firstLineChars="200"/>
        <w:rPr>
          <w:rFonts w:asciiTheme="minorEastAsia" w:hAnsiTheme="minorEastAsia"/>
        </w:rPr>
      </w:pPr>
      <w:r>
        <w:rPr>
          <w:rFonts w:hint="eastAsia" w:asciiTheme="minorEastAsia" w:hAnsiTheme="minorEastAsia"/>
        </w:rPr>
        <w:t>(二)送达情形遵守民诉法规定。</w:t>
      </w:r>
    </w:p>
    <w:p w14:paraId="7E425B4E">
      <w:pPr>
        <w:tabs>
          <w:tab w:val="left" w:pos="480"/>
        </w:tabs>
        <w:spacing w:line="440" w:lineRule="exact"/>
        <w:ind w:firstLine="394" w:firstLineChars="196"/>
        <w:rPr>
          <w:rFonts w:asciiTheme="minorEastAsia" w:hAnsiTheme="minorEastAsia"/>
          <w:b/>
          <w:color w:val="000000"/>
          <w:spacing w:val="-20"/>
        </w:rPr>
      </w:pPr>
      <w:r>
        <w:rPr>
          <w:rFonts w:hint="eastAsia" w:asciiTheme="minorEastAsia" w:hAnsiTheme="minorEastAsia"/>
          <w:b/>
          <w:color w:val="000000"/>
          <w:spacing w:val="-20"/>
        </w:rPr>
        <w:t>十一、合同变更</w:t>
      </w:r>
    </w:p>
    <w:p w14:paraId="52B5A9A9">
      <w:pPr>
        <w:spacing w:line="440" w:lineRule="exact"/>
        <w:ind w:firstLine="480" w:firstLineChars="200"/>
        <w:rPr>
          <w:rFonts w:asciiTheme="minorEastAsia" w:hAnsiTheme="minorEastAsia"/>
          <w:kern w:val="2"/>
        </w:rPr>
      </w:pPr>
      <w:r>
        <w:rPr>
          <w:rFonts w:hint="eastAsia" w:asciiTheme="minorEastAsia" w:hAnsiTheme="minorEastAsia"/>
        </w:rPr>
        <w:t>本合同生效后，双方均不得擅自变更；确需变更的，双方应协商一致后签订书面变更协议，变更协议与本合同具有同等效力；但若双方就变更事项未达成一致意见的，仍应继续履行本合同，否则视为违约，应承担违约责任。</w:t>
      </w:r>
    </w:p>
    <w:p w14:paraId="1E3A88A5">
      <w:pPr>
        <w:tabs>
          <w:tab w:val="left" w:pos="480"/>
        </w:tabs>
        <w:spacing w:line="440" w:lineRule="exact"/>
        <w:ind w:firstLine="394" w:firstLineChars="196"/>
        <w:rPr>
          <w:rFonts w:asciiTheme="minorEastAsia" w:hAnsiTheme="minorEastAsia"/>
          <w:b/>
          <w:color w:val="000000"/>
          <w:spacing w:val="-20"/>
        </w:rPr>
      </w:pPr>
      <w:r>
        <w:rPr>
          <w:rFonts w:hint="eastAsia" w:asciiTheme="minorEastAsia" w:hAnsiTheme="minorEastAsia"/>
          <w:b/>
          <w:color w:val="000000"/>
          <w:spacing w:val="-20"/>
        </w:rPr>
        <w:t>十二、合同生效</w:t>
      </w:r>
    </w:p>
    <w:p w14:paraId="4698EA06">
      <w:pPr>
        <w:spacing w:line="440" w:lineRule="exact"/>
        <w:ind w:firstLine="480" w:firstLineChars="200"/>
        <w:rPr>
          <w:rFonts w:asciiTheme="minorEastAsia" w:hAnsiTheme="minorEastAsia"/>
          <w:kern w:val="2"/>
        </w:rPr>
      </w:pPr>
      <w:r>
        <w:rPr>
          <w:rFonts w:hint="eastAsia" w:asciiTheme="minorEastAsia" w:hAnsiTheme="minorEastAsia"/>
        </w:rPr>
        <w:t>本合同一式</w:t>
      </w:r>
      <w:r>
        <w:rPr>
          <w:rFonts w:hint="eastAsia" w:asciiTheme="minorEastAsia" w:hAnsiTheme="minorEastAsia"/>
          <w:u w:val="single"/>
        </w:rPr>
        <w:t xml:space="preserve">   </w:t>
      </w:r>
      <w:r>
        <w:rPr>
          <w:rFonts w:hint="eastAsia" w:asciiTheme="minorEastAsia" w:hAnsiTheme="minorEastAsia"/>
        </w:rPr>
        <w:t>份，甲方持</w:t>
      </w:r>
      <w:r>
        <w:rPr>
          <w:rFonts w:hint="eastAsia" w:asciiTheme="minorEastAsia" w:hAnsiTheme="minorEastAsia"/>
          <w:u w:val="single"/>
        </w:rPr>
        <w:t xml:space="preserve">   </w:t>
      </w:r>
      <w:r>
        <w:rPr>
          <w:rFonts w:hint="eastAsia" w:asciiTheme="minorEastAsia" w:hAnsiTheme="minorEastAsia"/>
        </w:rPr>
        <w:t>份，乙方持</w:t>
      </w:r>
      <w:r>
        <w:rPr>
          <w:rFonts w:hint="eastAsia" w:asciiTheme="minorEastAsia" w:hAnsiTheme="minorEastAsia"/>
          <w:u w:val="single"/>
        </w:rPr>
        <w:t xml:space="preserve">   </w:t>
      </w:r>
      <w:r>
        <w:rPr>
          <w:rFonts w:hint="eastAsia" w:asciiTheme="minorEastAsia" w:hAnsiTheme="minorEastAsia"/>
        </w:rPr>
        <w:t>份，具有同等效力；本合同甲、乙双方签字盖章后生效。</w:t>
      </w:r>
    </w:p>
    <w:p w14:paraId="7356B7FA">
      <w:pPr>
        <w:tabs>
          <w:tab w:val="left" w:pos="480"/>
        </w:tabs>
        <w:spacing w:line="440" w:lineRule="exact"/>
        <w:ind w:firstLine="394" w:firstLineChars="196"/>
        <w:rPr>
          <w:rFonts w:asciiTheme="minorEastAsia" w:hAnsiTheme="minorEastAsia"/>
          <w:b/>
          <w:color w:val="000000"/>
          <w:spacing w:val="-20"/>
        </w:rPr>
      </w:pPr>
      <w:r>
        <w:rPr>
          <w:rFonts w:hint="eastAsia" w:asciiTheme="minorEastAsia" w:hAnsiTheme="minorEastAsia"/>
          <w:b/>
          <w:color w:val="000000"/>
          <w:spacing w:val="-20"/>
        </w:rPr>
        <w:t>十三、其他事项</w:t>
      </w:r>
    </w:p>
    <w:p w14:paraId="60DCDCD1">
      <w:pPr>
        <w:spacing w:line="440" w:lineRule="exact"/>
        <w:ind w:firstLine="480" w:firstLineChars="200"/>
        <w:rPr>
          <w:rFonts w:asciiTheme="minorEastAsia" w:hAnsiTheme="minorEastAsia"/>
          <w:kern w:val="2"/>
        </w:rPr>
      </w:pPr>
      <w:r>
        <w:rPr>
          <w:rFonts w:hint="eastAsia" w:asciiTheme="minorEastAsia" w:hAnsiTheme="minorEastAsia"/>
        </w:rPr>
        <w:t>（一）西安市财政局政府采购管理处在合同的履行期间以及履行期后，可以随时检查项目的执行情况，对采购标准、采购内容进行调查核实，并对发现的问题进行处理。</w:t>
      </w:r>
    </w:p>
    <w:p w14:paraId="14102674">
      <w:pPr>
        <w:spacing w:line="440" w:lineRule="exact"/>
        <w:ind w:firstLine="480" w:firstLineChars="200"/>
        <w:rPr>
          <w:rFonts w:asciiTheme="minorEastAsia" w:hAnsiTheme="minorEastAsia"/>
        </w:rPr>
      </w:pPr>
      <w:r>
        <w:rPr>
          <w:rFonts w:hint="eastAsia" w:asciiTheme="minorEastAsia" w:hAnsiTheme="minorEastAsia"/>
        </w:rPr>
        <w:t>（二）招标文件、投标文件、澄清表（函）、中标通知书、合同附件均成为合同不可分割的部分。</w:t>
      </w:r>
    </w:p>
    <w:p w14:paraId="4A9FF287">
      <w:pPr>
        <w:spacing w:line="440" w:lineRule="exact"/>
        <w:ind w:firstLine="480" w:firstLineChars="200"/>
        <w:rPr>
          <w:rFonts w:asciiTheme="minorEastAsia" w:hAnsiTheme="minorEastAsia"/>
        </w:rPr>
      </w:pPr>
      <w:r>
        <w:rPr>
          <w:rFonts w:hint="eastAsia" w:asciiTheme="minorEastAsia" w:hAnsiTheme="minorEastAsia"/>
        </w:rPr>
        <w:t>（三）本合同未尽事宜，由甲、乙双方协商一致后签订补充协议，具有同等效力。</w:t>
      </w:r>
    </w:p>
    <w:p w14:paraId="7527FC55">
      <w:pPr>
        <w:pStyle w:val="5"/>
        <w:spacing w:line="440" w:lineRule="exact"/>
        <w:ind w:firstLine="480" w:firstLineChars="200"/>
        <w:rPr>
          <w:rFonts w:asciiTheme="minorEastAsia" w:hAnsiTheme="minorEastAsia"/>
        </w:rPr>
      </w:pPr>
      <w:r>
        <w:rPr>
          <w:rFonts w:hint="eastAsia" w:asciiTheme="minorEastAsia" w:hAnsiTheme="minorEastAsia"/>
          <w:sz w:val="24"/>
          <w:szCs w:val="24"/>
        </w:rPr>
        <w:t>（四））合同执行完毕后，自动失效，但合同的服务承诺应长期有效。</w:t>
      </w:r>
    </w:p>
    <w:p w14:paraId="1A083A2C">
      <w:pPr>
        <w:pStyle w:val="5"/>
        <w:rPr>
          <w:rFonts w:ascii="宋体" w:hAnsi="宋体"/>
        </w:rPr>
      </w:pPr>
      <w:r>
        <w:rPr>
          <w:rFonts w:hint="eastAsia" w:ascii="宋体" w:hAnsi="宋体"/>
        </w:rPr>
        <w:t xml:space="preserve"> </w:t>
      </w:r>
    </w:p>
    <w:p w14:paraId="48AC7609">
      <w:pPr>
        <w:pStyle w:val="5"/>
        <w:rPr>
          <w:rFonts w:ascii="宋体" w:hAnsi="宋体"/>
        </w:rPr>
      </w:pPr>
      <w:r>
        <w:rPr>
          <w:rFonts w:hint="eastAsia" w:ascii="宋体" w:hAnsi="宋体"/>
        </w:rPr>
        <w:t xml:space="preserve"> </w:t>
      </w:r>
    </w:p>
    <w:p w14:paraId="1B391F1F">
      <w:pPr>
        <w:pStyle w:val="5"/>
        <w:rPr>
          <w:rFonts w:ascii="宋体" w:hAnsi="宋体"/>
        </w:rPr>
      </w:pPr>
      <w:r>
        <w:rPr>
          <w:rFonts w:hint="eastAsia" w:ascii="宋体" w:hAnsi="宋体"/>
        </w:rPr>
        <w:t xml:space="preserve"> </w:t>
      </w:r>
    </w:p>
    <w:p w14:paraId="796BB8A8">
      <w:pPr>
        <w:pStyle w:val="5"/>
        <w:rPr>
          <w:rFonts w:ascii="Calibri" w:hAnsi="Calibri"/>
        </w:rPr>
      </w:pPr>
      <w:r>
        <w:t xml:space="preserve"> </w:t>
      </w:r>
    </w:p>
    <w:tbl>
      <w:tblPr>
        <w:tblStyle w:val="6"/>
        <w:tblW w:w="8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8"/>
        <w:gridCol w:w="4252"/>
      </w:tblGrid>
      <w:tr w14:paraId="78CAD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4368" w:type="dxa"/>
            <w:tcBorders>
              <w:top w:val="single" w:color="auto" w:sz="4" w:space="0"/>
              <w:left w:val="single" w:color="auto" w:sz="4" w:space="0"/>
              <w:bottom w:val="single" w:color="auto" w:sz="4" w:space="0"/>
              <w:right w:val="single" w:color="auto" w:sz="4" w:space="0"/>
            </w:tcBorders>
          </w:tcPr>
          <w:p w14:paraId="3498016A">
            <w:pPr>
              <w:autoSpaceDE w:val="0"/>
              <w:autoSpaceDN w:val="0"/>
              <w:adjustRightInd w:val="0"/>
              <w:spacing w:line="360" w:lineRule="auto"/>
              <w:jc w:val="center"/>
              <w:rPr>
                <w:rFonts w:ascii="仿宋_GB2312" w:hAnsi="宋体"/>
                <w:color w:val="000000"/>
                <w:spacing w:val="-20"/>
              </w:rPr>
            </w:pPr>
            <w:r>
              <w:rPr>
                <w:rFonts w:ascii="仿宋_GB2312" w:hAnsi="仿宋_GB2312"/>
                <w:color w:val="000000"/>
                <w:spacing w:val="-20"/>
              </w:rPr>
              <w:t>甲</w:t>
            </w:r>
            <w:r>
              <w:rPr>
                <w:rFonts w:ascii="仿宋_GB2312" w:hAnsi="宋体"/>
                <w:color w:val="000000"/>
                <w:spacing w:val="-20"/>
              </w:rPr>
              <w:t xml:space="preserve"> </w:t>
            </w:r>
            <w:r>
              <w:rPr>
                <w:rFonts w:ascii="仿宋_GB2312" w:hAnsi="仿宋_GB2312"/>
                <w:color w:val="000000"/>
                <w:spacing w:val="-20"/>
              </w:rPr>
              <w:t xml:space="preserve"> 方</w:t>
            </w:r>
          </w:p>
        </w:tc>
        <w:tc>
          <w:tcPr>
            <w:tcW w:w="4252" w:type="dxa"/>
            <w:tcBorders>
              <w:top w:val="single" w:color="auto" w:sz="4" w:space="0"/>
              <w:left w:val="nil"/>
              <w:bottom w:val="single" w:color="auto" w:sz="4" w:space="0"/>
              <w:right w:val="single" w:color="auto" w:sz="4" w:space="0"/>
            </w:tcBorders>
          </w:tcPr>
          <w:p w14:paraId="467B0710">
            <w:pPr>
              <w:autoSpaceDE w:val="0"/>
              <w:autoSpaceDN w:val="0"/>
              <w:adjustRightInd w:val="0"/>
              <w:spacing w:line="360" w:lineRule="auto"/>
              <w:jc w:val="center"/>
              <w:rPr>
                <w:rFonts w:ascii="仿宋_GB2312" w:hAnsi="宋体"/>
                <w:color w:val="000000"/>
                <w:spacing w:val="-20"/>
              </w:rPr>
            </w:pPr>
            <w:r>
              <w:rPr>
                <w:rFonts w:ascii="仿宋_GB2312" w:hAnsi="仿宋_GB2312"/>
                <w:color w:val="000000"/>
                <w:spacing w:val="-20"/>
              </w:rPr>
              <w:t>乙</w:t>
            </w:r>
            <w:r>
              <w:rPr>
                <w:rFonts w:ascii="仿宋_GB2312" w:hAnsi="宋体"/>
                <w:color w:val="000000"/>
                <w:spacing w:val="-20"/>
              </w:rPr>
              <w:t xml:space="preserve"> </w:t>
            </w:r>
            <w:r>
              <w:rPr>
                <w:rFonts w:ascii="仿宋_GB2312" w:hAnsi="仿宋_GB2312"/>
                <w:color w:val="000000"/>
                <w:spacing w:val="-20"/>
              </w:rPr>
              <w:t xml:space="preserve"> 方</w:t>
            </w:r>
          </w:p>
        </w:tc>
      </w:tr>
      <w:tr w14:paraId="5D32F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trPr>
        <w:tc>
          <w:tcPr>
            <w:tcW w:w="4368" w:type="dxa"/>
            <w:tcBorders>
              <w:top w:val="single" w:color="auto" w:sz="4" w:space="0"/>
              <w:left w:val="single" w:color="auto" w:sz="4" w:space="0"/>
              <w:bottom w:val="single" w:color="auto" w:sz="4" w:space="0"/>
              <w:right w:val="single" w:color="auto" w:sz="4" w:space="0"/>
            </w:tcBorders>
            <w:vAlign w:val="center"/>
          </w:tcPr>
          <w:p w14:paraId="01B69713">
            <w:pPr>
              <w:autoSpaceDE w:val="0"/>
              <w:autoSpaceDN w:val="0"/>
              <w:adjustRightInd w:val="0"/>
              <w:spacing w:line="360" w:lineRule="auto"/>
              <w:jc w:val="center"/>
              <w:rPr>
                <w:rFonts w:hint="eastAsia" w:ascii="仿宋_GB2312" w:hAnsi="仿宋_GB2312"/>
                <w:color w:val="000000"/>
                <w:spacing w:val="-20"/>
              </w:rPr>
            </w:pPr>
            <w:r>
              <w:rPr>
                <w:rFonts w:hint="eastAsia" w:ascii="仿宋_GB2312" w:hAnsi="仿宋_GB2312"/>
                <w:color w:val="000000"/>
                <w:spacing w:val="-20"/>
              </w:rPr>
              <w:t>西安市鄠邑区人民医院</w:t>
            </w:r>
          </w:p>
          <w:p w14:paraId="4E00D0F0">
            <w:pPr>
              <w:autoSpaceDE w:val="0"/>
              <w:autoSpaceDN w:val="0"/>
              <w:adjustRightInd w:val="0"/>
              <w:spacing w:line="360" w:lineRule="auto"/>
              <w:ind w:firstLine="1900" w:firstLineChars="950"/>
              <w:rPr>
                <w:rFonts w:ascii="仿宋_GB2312" w:hAnsi="宋体"/>
                <w:color w:val="000000"/>
                <w:spacing w:val="-20"/>
              </w:rPr>
            </w:pPr>
            <w:r>
              <w:rPr>
                <w:rFonts w:ascii="仿宋_GB2312" w:hAnsi="仿宋_GB2312"/>
                <w:color w:val="000000"/>
                <w:spacing w:val="-20"/>
              </w:rPr>
              <w:t>（盖章）</w:t>
            </w:r>
          </w:p>
        </w:tc>
        <w:tc>
          <w:tcPr>
            <w:tcW w:w="4252" w:type="dxa"/>
            <w:tcBorders>
              <w:top w:val="single" w:color="auto" w:sz="4" w:space="0"/>
              <w:left w:val="nil"/>
              <w:bottom w:val="single" w:color="auto" w:sz="4" w:space="0"/>
              <w:right w:val="single" w:color="auto" w:sz="4" w:space="0"/>
            </w:tcBorders>
            <w:vAlign w:val="center"/>
          </w:tcPr>
          <w:p w14:paraId="105C6932">
            <w:pPr>
              <w:autoSpaceDE w:val="0"/>
              <w:autoSpaceDN w:val="0"/>
              <w:adjustRightInd w:val="0"/>
              <w:spacing w:line="400" w:lineRule="exact"/>
              <w:jc w:val="center"/>
              <w:rPr>
                <w:rFonts w:ascii="仿宋_GB2312" w:hAnsi="宋体"/>
                <w:color w:val="000000"/>
                <w:spacing w:val="-20"/>
              </w:rPr>
            </w:pPr>
            <w:r>
              <w:rPr>
                <w:rFonts w:hint="eastAsia" w:ascii="仿宋_GB2312" w:hAnsi="仿宋_GB2312"/>
                <w:color w:val="000000"/>
                <w:spacing w:val="-20"/>
                <w:lang w:val="en-US" w:eastAsia="zh-CN"/>
              </w:rPr>
              <w:t>成交</w:t>
            </w:r>
            <w:r>
              <w:rPr>
                <w:rFonts w:ascii="仿宋_GB2312" w:hAnsi="仿宋_GB2312"/>
                <w:color w:val="000000"/>
                <w:spacing w:val="-20"/>
              </w:rPr>
              <w:t>供应商全称</w:t>
            </w:r>
          </w:p>
          <w:p w14:paraId="443C6D1E">
            <w:pPr>
              <w:autoSpaceDE w:val="0"/>
              <w:autoSpaceDN w:val="0"/>
              <w:adjustRightInd w:val="0"/>
              <w:spacing w:line="400" w:lineRule="exact"/>
              <w:ind w:firstLine="1400" w:firstLineChars="700"/>
              <w:rPr>
                <w:rFonts w:ascii="仿宋_GB2312" w:hAnsi="宋体"/>
                <w:color w:val="000000"/>
                <w:spacing w:val="-20"/>
              </w:rPr>
            </w:pPr>
            <w:r>
              <w:rPr>
                <w:rFonts w:ascii="仿宋_GB2312" w:hAnsi="仿宋_GB2312"/>
                <w:color w:val="000000"/>
                <w:spacing w:val="-20"/>
              </w:rPr>
              <w:t>（盖章）</w:t>
            </w:r>
          </w:p>
        </w:tc>
      </w:tr>
      <w:tr w14:paraId="676F6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4368" w:type="dxa"/>
            <w:tcBorders>
              <w:top w:val="single" w:color="auto" w:sz="4" w:space="0"/>
              <w:left w:val="single" w:color="auto" w:sz="4" w:space="0"/>
              <w:bottom w:val="single" w:color="auto" w:sz="4" w:space="0"/>
              <w:right w:val="single" w:color="auto" w:sz="4" w:space="0"/>
            </w:tcBorders>
          </w:tcPr>
          <w:p w14:paraId="080BBED8">
            <w:pPr>
              <w:autoSpaceDE w:val="0"/>
              <w:autoSpaceDN w:val="0"/>
              <w:adjustRightInd w:val="0"/>
              <w:spacing w:line="600" w:lineRule="exact"/>
              <w:rPr>
                <w:rFonts w:ascii="仿宋_GB2312" w:hAnsi="宋体"/>
                <w:color w:val="000000"/>
                <w:spacing w:val="-20"/>
              </w:rPr>
            </w:pPr>
            <w:r>
              <w:rPr>
                <w:rFonts w:ascii="仿宋_GB2312" w:hAnsi="仿宋_GB2312"/>
                <w:color w:val="000000"/>
                <w:spacing w:val="-20"/>
              </w:rPr>
              <w:t>地址：</w:t>
            </w:r>
            <w:r>
              <w:rPr>
                <w:rFonts w:ascii="仿宋_GB2312" w:hAnsi="宋体"/>
                <w:color w:val="000000"/>
                <w:spacing w:val="-20"/>
              </w:rPr>
              <w:t xml:space="preserve"> </w:t>
            </w:r>
          </w:p>
        </w:tc>
        <w:tc>
          <w:tcPr>
            <w:tcW w:w="4252" w:type="dxa"/>
            <w:tcBorders>
              <w:top w:val="single" w:color="auto" w:sz="4" w:space="0"/>
              <w:left w:val="nil"/>
              <w:bottom w:val="single" w:color="auto" w:sz="4" w:space="0"/>
              <w:right w:val="single" w:color="auto" w:sz="4" w:space="0"/>
            </w:tcBorders>
          </w:tcPr>
          <w:p w14:paraId="45A509A2">
            <w:pPr>
              <w:autoSpaceDE w:val="0"/>
              <w:autoSpaceDN w:val="0"/>
              <w:adjustRightInd w:val="0"/>
              <w:spacing w:line="600" w:lineRule="exact"/>
              <w:rPr>
                <w:rFonts w:ascii="仿宋_GB2312" w:hAnsi="宋体"/>
                <w:color w:val="000000"/>
                <w:spacing w:val="-20"/>
              </w:rPr>
            </w:pPr>
            <w:r>
              <w:rPr>
                <w:rFonts w:ascii="仿宋_GB2312" w:hAnsi="仿宋_GB2312"/>
                <w:color w:val="000000"/>
                <w:spacing w:val="-20"/>
              </w:rPr>
              <w:t>地址：</w:t>
            </w:r>
          </w:p>
        </w:tc>
      </w:tr>
      <w:tr w14:paraId="1DFE8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368" w:type="dxa"/>
            <w:tcBorders>
              <w:top w:val="single" w:color="auto" w:sz="4" w:space="0"/>
              <w:left w:val="single" w:color="auto" w:sz="4" w:space="0"/>
              <w:bottom w:val="single" w:color="auto" w:sz="4" w:space="0"/>
              <w:right w:val="single" w:color="auto" w:sz="4" w:space="0"/>
            </w:tcBorders>
          </w:tcPr>
          <w:p w14:paraId="382702C4">
            <w:pPr>
              <w:autoSpaceDE w:val="0"/>
              <w:autoSpaceDN w:val="0"/>
              <w:adjustRightInd w:val="0"/>
              <w:spacing w:line="600" w:lineRule="exact"/>
              <w:rPr>
                <w:rFonts w:ascii="仿宋_GB2312" w:hAnsi="宋体"/>
                <w:color w:val="000000"/>
                <w:spacing w:val="-20"/>
              </w:rPr>
            </w:pPr>
            <w:r>
              <w:rPr>
                <w:rFonts w:ascii="仿宋_GB2312" w:hAnsi="仿宋_GB2312"/>
                <w:color w:val="000000"/>
                <w:spacing w:val="-20"/>
              </w:rPr>
              <w:t>邮编：</w:t>
            </w:r>
          </w:p>
        </w:tc>
        <w:tc>
          <w:tcPr>
            <w:tcW w:w="4252" w:type="dxa"/>
            <w:tcBorders>
              <w:top w:val="single" w:color="auto" w:sz="4" w:space="0"/>
              <w:left w:val="nil"/>
              <w:bottom w:val="single" w:color="auto" w:sz="4" w:space="0"/>
              <w:right w:val="single" w:color="auto" w:sz="4" w:space="0"/>
            </w:tcBorders>
          </w:tcPr>
          <w:p w14:paraId="4BA1EC99">
            <w:pPr>
              <w:autoSpaceDE w:val="0"/>
              <w:autoSpaceDN w:val="0"/>
              <w:adjustRightInd w:val="0"/>
              <w:spacing w:line="600" w:lineRule="exact"/>
              <w:rPr>
                <w:rFonts w:ascii="仿宋_GB2312" w:hAnsi="宋体"/>
                <w:color w:val="000000"/>
                <w:spacing w:val="-20"/>
              </w:rPr>
            </w:pPr>
            <w:r>
              <w:rPr>
                <w:rFonts w:ascii="仿宋_GB2312" w:hAnsi="仿宋_GB2312"/>
                <w:color w:val="000000"/>
                <w:spacing w:val="-20"/>
              </w:rPr>
              <w:t>邮编：</w:t>
            </w:r>
          </w:p>
        </w:tc>
      </w:tr>
      <w:tr w14:paraId="3D2CC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4368" w:type="dxa"/>
            <w:tcBorders>
              <w:top w:val="single" w:color="auto" w:sz="4" w:space="0"/>
              <w:left w:val="single" w:color="auto" w:sz="4" w:space="0"/>
              <w:bottom w:val="single" w:color="auto" w:sz="4" w:space="0"/>
              <w:right w:val="single" w:color="auto" w:sz="4" w:space="0"/>
            </w:tcBorders>
          </w:tcPr>
          <w:p w14:paraId="48F8ECEA">
            <w:pPr>
              <w:autoSpaceDE w:val="0"/>
              <w:autoSpaceDN w:val="0"/>
              <w:adjustRightInd w:val="0"/>
              <w:spacing w:line="600" w:lineRule="exact"/>
              <w:rPr>
                <w:rFonts w:ascii="仿宋_GB2312" w:hAnsi="宋体"/>
                <w:color w:val="000000"/>
                <w:spacing w:val="-20"/>
              </w:rPr>
            </w:pPr>
            <w:r>
              <w:rPr>
                <w:rFonts w:ascii="仿宋_GB2312" w:hAnsi="仿宋_GB2312"/>
                <w:color w:val="000000"/>
                <w:spacing w:val="-20"/>
              </w:rPr>
              <w:t>承办人：（签字）</w:t>
            </w:r>
            <w:r>
              <w:rPr>
                <w:rFonts w:ascii="仿宋_GB2312" w:hAnsi="宋体"/>
                <w:color w:val="000000"/>
                <w:spacing w:val="-20"/>
              </w:rPr>
              <w:t xml:space="preserve"> </w:t>
            </w:r>
          </w:p>
        </w:tc>
        <w:tc>
          <w:tcPr>
            <w:tcW w:w="4252" w:type="dxa"/>
            <w:tcBorders>
              <w:top w:val="single" w:color="auto" w:sz="4" w:space="0"/>
              <w:left w:val="nil"/>
              <w:bottom w:val="single" w:color="auto" w:sz="4" w:space="0"/>
              <w:right w:val="single" w:color="auto" w:sz="4" w:space="0"/>
            </w:tcBorders>
          </w:tcPr>
          <w:p w14:paraId="10A5A161">
            <w:pPr>
              <w:autoSpaceDE w:val="0"/>
              <w:autoSpaceDN w:val="0"/>
              <w:adjustRightInd w:val="0"/>
              <w:spacing w:line="600" w:lineRule="exact"/>
              <w:rPr>
                <w:rFonts w:ascii="仿宋_GB2312" w:hAnsi="宋体"/>
                <w:color w:val="000000"/>
                <w:spacing w:val="-20"/>
              </w:rPr>
            </w:pPr>
            <w:r>
              <w:rPr>
                <w:rFonts w:ascii="仿宋_GB2312" w:hAnsi="仿宋_GB2312"/>
                <w:color w:val="000000"/>
                <w:spacing w:val="-20"/>
              </w:rPr>
              <w:t>被授权代表：（签字）</w:t>
            </w:r>
          </w:p>
        </w:tc>
      </w:tr>
      <w:tr w14:paraId="48969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368" w:type="dxa"/>
            <w:tcBorders>
              <w:top w:val="single" w:color="auto" w:sz="4" w:space="0"/>
              <w:left w:val="single" w:color="auto" w:sz="4" w:space="0"/>
              <w:bottom w:val="single" w:color="auto" w:sz="4" w:space="0"/>
              <w:right w:val="single" w:color="auto" w:sz="4" w:space="0"/>
            </w:tcBorders>
          </w:tcPr>
          <w:p w14:paraId="7AE5903B">
            <w:pPr>
              <w:autoSpaceDE w:val="0"/>
              <w:autoSpaceDN w:val="0"/>
              <w:adjustRightInd w:val="0"/>
              <w:spacing w:line="600" w:lineRule="exact"/>
              <w:rPr>
                <w:rFonts w:ascii="仿宋_GB2312" w:hAnsi="宋体"/>
                <w:color w:val="000000"/>
                <w:spacing w:val="-20"/>
              </w:rPr>
            </w:pPr>
            <w:r>
              <w:rPr>
                <w:rFonts w:ascii="仿宋_GB2312" w:hAnsi="仿宋_GB2312"/>
                <w:color w:val="000000"/>
                <w:spacing w:val="-20"/>
              </w:rPr>
              <w:t>法定代表人或委托代理人</w:t>
            </w:r>
          </w:p>
          <w:p w14:paraId="53DB2709">
            <w:pPr>
              <w:autoSpaceDE w:val="0"/>
              <w:autoSpaceDN w:val="0"/>
              <w:adjustRightInd w:val="0"/>
              <w:spacing w:line="600" w:lineRule="exact"/>
              <w:rPr>
                <w:rFonts w:ascii="仿宋_GB2312" w:hAnsi="宋体"/>
                <w:color w:val="000000"/>
                <w:spacing w:val="-20"/>
              </w:rPr>
            </w:pPr>
            <w:r>
              <w:rPr>
                <w:rFonts w:ascii="仿宋_GB2312" w:hAnsi="仿宋_GB2312"/>
                <w:color w:val="000000"/>
                <w:spacing w:val="-20"/>
              </w:rPr>
              <w:t>（主管院长）：（签字）</w:t>
            </w:r>
          </w:p>
        </w:tc>
        <w:tc>
          <w:tcPr>
            <w:tcW w:w="4252" w:type="dxa"/>
            <w:tcBorders>
              <w:top w:val="single" w:color="auto" w:sz="4" w:space="0"/>
              <w:left w:val="nil"/>
              <w:bottom w:val="single" w:color="auto" w:sz="4" w:space="0"/>
              <w:right w:val="single" w:color="auto" w:sz="4" w:space="0"/>
            </w:tcBorders>
          </w:tcPr>
          <w:p w14:paraId="19756B00">
            <w:pPr>
              <w:autoSpaceDE w:val="0"/>
              <w:autoSpaceDN w:val="0"/>
              <w:adjustRightInd w:val="0"/>
              <w:spacing w:line="600" w:lineRule="exact"/>
              <w:rPr>
                <w:rFonts w:ascii="仿宋_GB2312" w:hAnsi="宋体"/>
                <w:color w:val="000000"/>
                <w:spacing w:val="-20"/>
              </w:rPr>
            </w:pPr>
            <w:r>
              <w:rPr>
                <w:rFonts w:ascii="仿宋_GB2312" w:hAnsi="仿宋_GB2312"/>
                <w:color w:val="000000"/>
                <w:spacing w:val="-20"/>
              </w:rPr>
              <w:t>法定代表人：（签字）</w:t>
            </w:r>
          </w:p>
        </w:tc>
      </w:tr>
      <w:tr w14:paraId="07941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368" w:type="dxa"/>
            <w:tcBorders>
              <w:top w:val="single" w:color="auto" w:sz="4" w:space="0"/>
              <w:left w:val="single" w:color="auto" w:sz="4" w:space="0"/>
              <w:bottom w:val="single" w:color="auto" w:sz="4" w:space="0"/>
              <w:right w:val="single" w:color="auto" w:sz="4" w:space="0"/>
            </w:tcBorders>
          </w:tcPr>
          <w:p w14:paraId="53A9420D">
            <w:pPr>
              <w:autoSpaceDE w:val="0"/>
              <w:autoSpaceDN w:val="0"/>
              <w:adjustRightInd w:val="0"/>
              <w:spacing w:line="600" w:lineRule="exact"/>
              <w:rPr>
                <w:rFonts w:ascii="仿宋_GB2312" w:hAnsi="宋体"/>
                <w:color w:val="000000"/>
                <w:spacing w:val="-20"/>
              </w:rPr>
            </w:pPr>
            <w:r>
              <w:rPr>
                <w:rFonts w:ascii="仿宋_GB2312" w:hAnsi="仿宋_GB2312"/>
                <w:color w:val="000000"/>
                <w:spacing w:val="-20"/>
              </w:rPr>
              <w:t>电话：</w:t>
            </w:r>
          </w:p>
        </w:tc>
        <w:tc>
          <w:tcPr>
            <w:tcW w:w="4252" w:type="dxa"/>
            <w:tcBorders>
              <w:top w:val="single" w:color="auto" w:sz="4" w:space="0"/>
              <w:left w:val="nil"/>
              <w:bottom w:val="single" w:color="auto" w:sz="4" w:space="0"/>
              <w:right w:val="single" w:color="auto" w:sz="4" w:space="0"/>
            </w:tcBorders>
          </w:tcPr>
          <w:p w14:paraId="1F57D506">
            <w:pPr>
              <w:autoSpaceDE w:val="0"/>
              <w:autoSpaceDN w:val="0"/>
              <w:adjustRightInd w:val="0"/>
              <w:spacing w:line="600" w:lineRule="exact"/>
              <w:rPr>
                <w:rFonts w:ascii="仿宋_GB2312" w:hAnsi="宋体"/>
                <w:color w:val="000000"/>
                <w:spacing w:val="-20"/>
              </w:rPr>
            </w:pPr>
            <w:r>
              <w:rPr>
                <w:rFonts w:ascii="仿宋_GB2312" w:hAnsi="仿宋_GB2312"/>
                <w:color w:val="000000"/>
                <w:spacing w:val="-20"/>
              </w:rPr>
              <w:t>电话：</w:t>
            </w:r>
          </w:p>
        </w:tc>
      </w:tr>
      <w:tr w14:paraId="2123B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4368" w:type="dxa"/>
            <w:tcBorders>
              <w:top w:val="single" w:color="auto" w:sz="4" w:space="0"/>
              <w:left w:val="single" w:color="auto" w:sz="4" w:space="0"/>
              <w:bottom w:val="single" w:color="auto" w:sz="4" w:space="0"/>
              <w:right w:val="single" w:color="auto" w:sz="4" w:space="0"/>
            </w:tcBorders>
          </w:tcPr>
          <w:p w14:paraId="57DD98D5">
            <w:pPr>
              <w:autoSpaceDE w:val="0"/>
              <w:autoSpaceDN w:val="0"/>
              <w:adjustRightInd w:val="0"/>
              <w:spacing w:line="600" w:lineRule="exact"/>
              <w:rPr>
                <w:rFonts w:ascii="仿宋_GB2312" w:hAnsi="宋体"/>
                <w:color w:val="000000"/>
                <w:spacing w:val="-20"/>
              </w:rPr>
            </w:pPr>
            <w:r>
              <w:rPr>
                <w:rFonts w:ascii="仿宋_GB2312" w:hAnsi="仿宋_GB2312"/>
                <w:color w:val="000000"/>
                <w:spacing w:val="-20"/>
              </w:rPr>
              <w:t>开户银行：</w:t>
            </w:r>
          </w:p>
        </w:tc>
        <w:tc>
          <w:tcPr>
            <w:tcW w:w="4252" w:type="dxa"/>
            <w:tcBorders>
              <w:top w:val="single" w:color="auto" w:sz="4" w:space="0"/>
              <w:left w:val="nil"/>
              <w:bottom w:val="single" w:color="auto" w:sz="4" w:space="0"/>
              <w:right w:val="single" w:color="auto" w:sz="4" w:space="0"/>
            </w:tcBorders>
          </w:tcPr>
          <w:p w14:paraId="6B3D138B">
            <w:pPr>
              <w:autoSpaceDE w:val="0"/>
              <w:autoSpaceDN w:val="0"/>
              <w:adjustRightInd w:val="0"/>
              <w:spacing w:line="600" w:lineRule="exact"/>
              <w:rPr>
                <w:rFonts w:ascii="仿宋_GB2312" w:hAnsi="宋体"/>
                <w:color w:val="000000"/>
                <w:spacing w:val="-20"/>
              </w:rPr>
            </w:pPr>
            <w:r>
              <w:rPr>
                <w:rFonts w:ascii="仿宋_GB2312" w:hAnsi="仿宋_GB2312"/>
                <w:color w:val="000000"/>
                <w:spacing w:val="-20"/>
              </w:rPr>
              <w:t>开户银行：</w:t>
            </w:r>
          </w:p>
        </w:tc>
      </w:tr>
      <w:tr w14:paraId="713B4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368" w:type="dxa"/>
            <w:tcBorders>
              <w:top w:val="single" w:color="auto" w:sz="4" w:space="0"/>
              <w:left w:val="single" w:color="auto" w:sz="4" w:space="0"/>
              <w:bottom w:val="single" w:color="auto" w:sz="4" w:space="0"/>
              <w:right w:val="single" w:color="auto" w:sz="4" w:space="0"/>
            </w:tcBorders>
          </w:tcPr>
          <w:p w14:paraId="7268F942">
            <w:pPr>
              <w:autoSpaceDE w:val="0"/>
              <w:autoSpaceDN w:val="0"/>
              <w:adjustRightInd w:val="0"/>
              <w:spacing w:line="600" w:lineRule="exact"/>
              <w:rPr>
                <w:rFonts w:ascii="仿宋_GB2312" w:hAnsi="宋体"/>
                <w:color w:val="000000"/>
                <w:spacing w:val="-20"/>
              </w:rPr>
            </w:pPr>
            <w:r>
              <w:rPr>
                <w:rFonts w:ascii="仿宋_GB2312" w:hAnsi="仿宋_GB2312"/>
                <w:color w:val="000000"/>
                <w:spacing w:val="-20"/>
              </w:rPr>
              <w:t>帐号：</w:t>
            </w:r>
          </w:p>
        </w:tc>
        <w:tc>
          <w:tcPr>
            <w:tcW w:w="4252" w:type="dxa"/>
            <w:tcBorders>
              <w:top w:val="single" w:color="auto" w:sz="4" w:space="0"/>
              <w:left w:val="nil"/>
              <w:bottom w:val="single" w:color="auto" w:sz="4" w:space="0"/>
              <w:right w:val="single" w:color="auto" w:sz="4" w:space="0"/>
            </w:tcBorders>
          </w:tcPr>
          <w:p w14:paraId="402F4A1E">
            <w:pPr>
              <w:autoSpaceDE w:val="0"/>
              <w:autoSpaceDN w:val="0"/>
              <w:adjustRightInd w:val="0"/>
              <w:spacing w:line="600" w:lineRule="exact"/>
              <w:rPr>
                <w:rFonts w:ascii="仿宋_GB2312" w:hAnsi="宋体"/>
                <w:color w:val="000000"/>
                <w:spacing w:val="-20"/>
              </w:rPr>
            </w:pPr>
            <w:r>
              <w:rPr>
                <w:rFonts w:ascii="仿宋_GB2312" w:hAnsi="仿宋_GB2312"/>
                <w:color w:val="000000"/>
                <w:spacing w:val="-20"/>
              </w:rPr>
              <w:t>帐号：</w:t>
            </w:r>
          </w:p>
        </w:tc>
      </w:tr>
      <w:tr w14:paraId="72F2E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368" w:type="dxa"/>
            <w:tcBorders>
              <w:top w:val="single" w:color="auto" w:sz="4" w:space="0"/>
              <w:left w:val="single" w:color="auto" w:sz="4" w:space="0"/>
              <w:bottom w:val="single" w:color="auto" w:sz="4" w:space="0"/>
              <w:right w:val="single" w:color="auto" w:sz="4" w:space="0"/>
            </w:tcBorders>
          </w:tcPr>
          <w:p w14:paraId="09E723B6">
            <w:pPr>
              <w:autoSpaceDE w:val="0"/>
              <w:autoSpaceDN w:val="0"/>
              <w:adjustRightInd w:val="0"/>
              <w:spacing w:line="600" w:lineRule="exact"/>
              <w:rPr>
                <w:rFonts w:ascii="仿宋_GB2312" w:hAnsi="宋体"/>
                <w:color w:val="000000"/>
                <w:spacing w:val="-20"/>
              </w:rPr>
            </w:pPr>
            <w:r>
              <w:rPr>
                <w:rFonts w:ascii="仿宋_GB2312" w:hAnsi="仿宋_GB2312"/>
                <w:color w:val="000000"/>
                <w:spacing w:val="-20"/>
              </w:rPr>
              <w:t>日期：</w:t>
            </w:r>
            <w:r>
              <w:rPr>
                <w:rFonts w:ascii="仿宋_GB2312" w:hAnsi="宋体"/>
                <w:color w:val="000000"/>
                <w:spacing w:val="-20"/>
              </w:rPr>
              <w:t xml:space="preserve"> </w:t>
            </w:r>
            <w:r>
              <w:rPr>
                <w:rFonts w:ascii="仿宋_GB2312" w:hAnsi="仿宋_GB2312"/>
                <w:color w:val="000000"/>
                <w:spacing w:val="-20"/>
              </w:rPr>
              <w:t xml:space="preserve">  年</w:t>
            </w:r>
            <w:r>
              <w:rPr>
                <w:rFonts w:ascii="仿宋_GB2312" w:hAnsi="宋体"/>
                <w:color w:val="000000"/>
                <w:spacing w:val="-20"/>
              </w:rPr>
              <w:t xml:space="preserve"> </w:t>
            </w:r>
            <w:r>
              <w:rPr>
                <w:rFonts w:ascii="仿宋_GB2312" w:hAnsi="仿宋_GB2312"/>
                <w:color w:val="000000"/>
                <w:spacing w:val="-20"/>
              </w:rPr>
              <w:t xml:space="preserve">  月</w:t>
            </w:r>
            <w:r>
              <w:rPr>
                <w:rFonts w:ascii="仿宋_GB2312" w:hAnsi="宋体"/>
                <w:color w:val="000000"/>
                <w:spacing w:val="-20"/>
              </w:rPr>
              <w:t xml:space="preserve"> </w:t>
            </w:r>
            <w:r>
              <w:rPr>
                <w:rFonts w:ascii="仿宋_GB2312" w:hAnsi="仿宋_GB2312"/>
                <w:color w:val="000000"/>
                <w:spacing w:val="-20"/>
              </w:rPr>
              <w:t xml:space="preserve">  日</w:t>
            </w:r>
          </w:p>
        </w:tc>
        <w:tc>
          <w:tcPr>
            <w:tcW w:w="4252" w:type="dxa"/>
            <w:tcBorders>
              <w:top w:val="single" w:color="auto" w:sz="4" w:space="0"/>
              <w:left w:val="nil"/>
              <w:bottom w:val="single" w:color="auto" w:sz="4" w:space="0"/>
              <w:right w:val="single" w:color="auto" w:sz="4" w:space="0"/>
            </w:tcBorders>
          </w:tcPr>
          <w:p w14:paraId="0351C4AE">
            <w:pPr>
              <w:autoSpaceDE w:val="0"/>
              <w:autoSpaceDN w:val="0"/>
              <w:adjustRightInd w:val="0"/>
              <w:spacing w:line="600" w:lineRule="exact"/>
              <w:rPr>
                <w:rFonts w:ascii="仿宋_GB2312" w:hAnsi="宋体"/>
                <w:color w:val="000000"/>
                <w:spacing w:val="-20"/>
              </w:rPr>
            </w:pPr>
            <w:r>
              <w:rPr>
                <w:rFonts w:ascii="仿宋_GB2312" w:hAnsi="仿宋_GB2312"/>
                <w:color w:val="000000"/>
                <w:spacing w:val="-20"/>
              </w:rPr>
              <w:t>日期：</w:t>
            </w:r>
            <w:r>
              <w:rPr>
                <w:rFonts w:ascii="仿宋_GB2312" w:hAnsi="宋体"/>
                <w:color w:val="000000"/>
                <w:spacing w:val="-20"/>
              </w:rPr>
              <w:t xml:space="preserve"> </w:t>
            </w:r>
            <w:r>
              <w:rPr>
                <w:rFonts w:ascii="仿宋_GB2312" w:hAnsi="仿宋_GB2312"/>
                <w:color w:val="000000"/>
                <w:spacing w:val="-20"/>
              </w:rPr>
              <w:t xml:space="preserve">  年</w:t>
            </w:r>
            <w:r>
              <w:rPr>
                <w:rFonts w:ascii="仿宋_GB2312" w:hAnsi="宋体"/>
                <w:color w:val="000000"/>
                <w:spacing w:val="-20"/>
              </w:rPr>
              <w:t xml:space="preserve"> </w:t>
            </w:r>
            <w:r>
              <w:rPr>
                <w:rFonts w:ascii="仿宋_GB2312" w:hAnsi="仿宋_GB2312"/>
                <w:color w:val="000000"/>
                <w:spacing w:val="-20"/>
              </w:rPr>
              <w:t xml:space="preserve">  月</w:t>
            </w:r>
            <w:r>
              <w:rPr>
                <w:rFonts w:ascii="仿宋_GB2312" w:hAnsi="宋体"/>
                <w:color w:val="000000"/>
                <w:spacing w:val="-20"/>
              </w:rPr>
              <w:t xml:space="preserve"> </w:t>
            </w:r>
            <w:r>
              <w:rPr>
                <w:rFonts w:ascii="仿宋_GB2312" w:hAnsi="仿宋_GB2312"/>
                <w:color w:val="000000"/>
                <w:spacing w:val="-20"/>
              </w:rPr>
              <w:t xml:space="preserve">  日</w:t>
            </w:r>
          </w:p>
        </w:tc>
      </w:tr>
    </w:tbl>
    <w:p w14:paraId="6927E65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4132C2"/>
    <w:multiLevelType w:val="multilevel"/>
    <w:tmpl w:val="6D4132C2"/>
    <w:lvl w:ilvl="0" w:tentative="0">
      <w:start w:val="1"/>
      <w:numFmt w:val="none"/>
      <w:pStyle w:val="2"/>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14:cntxtalts w14:val="0"/>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14:cntxtalts w14:val="0"/>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14:cntxtalts w14:val="0"/>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0F6813"/>
    <w:rsid w:val="3BA34507"/>
    <w:rsid w:val="4A8406A6"/>
    <w:rsid w:val="583A6878"/>
    <w:rsid w:val="6ED0363B"/>
    <w:rsid w:val="79B778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paragraph" w:styleId="2">
    <w:name w:val="heading 1"/>
    <w:basedOn w:val="1"/>
    <w:next w:val="1"/>
    <w:qFormat/>
    <w:uiPriority w:val="9"/>
    <w:pPr>
      <w:keepNext/>
      <w:numPr>
        <w:ilvl w:val="0"/>
        <w:numId w:val="1"/>
      </w:numPr>
      <w:spacing w:before="50" w:beforeLines="50" w:after="50" w:afterLines="50"/>
      <w:jc w:val="center"/>
      <w:outlineLvl w:val="0"/>
    </w:pPr>
    <w:rPr>
      <w:rFonts w:ascii="Calibri" w:hAnsi="Calibri" w:eastAsia="黑体"/>
      <w:bCs/>
      <w:kern w:val="36"/>
      <w:sz w:val="32"/>
      <w:szCs w:val="32"/>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Plain Text"/>
    <w:basedOn w:val="1"/>
    <w:unhideWhenUsed/>
    <w:qFormat/>
    <w:uiPriority w:val="99"/>
    <w:rPr>
      <w:rFonts w:ascii="宋体" w:hAnsi="Courier New" w:eastAsia="宋体" w:cs="Courier New"/>
      <w:sz w:val="21"/>
      <w:szCs w:val="21"/>
    </w:rPr>
  </w:style>
  <w:style w:type="paragraph" w:styleId="5">
    <w:name w:val="footer"/>
    <w:basedOn w:val="1"/>
    <w:unhideWhenUsed/>
    <w:qFormat/>
    <w:uiPriority w:val="99"/>
    <w:pPr>
      <w:tabs>
        <w:tab w:val="center" w:pos="4153"/>
        <w:tab w:val="right" w:pos="8306"/>
      </w:tabs>
      <w:snapToGrid w:val="0"/>
      <w:spacing w:line="240" w:lineRule="atLeas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3</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2026-01-16T08:40:16Z</dcterms:created>
  <dc:creator>Administrator</dc:creator>
  <cp:lastModifiedBy>陕西德信招标有限公司</cp:lastModifiedBy>
  <dcterms:modified xsi:type="dcterms:W3CDTF">2026-01-16T08:44:48Z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eyJoZGlkIjoiYjBmZmYwMDFiM2Q1ZmZiNmUwZTJlN2MzNGIwY2ZiMDUiLCJ1c2VySWQiOiI3MjAyODExMDQifQ==</vt:lpwstr>
  </property>
  <property fmtid="{D5CDD505-2E9C-101B-9397-08002B2CF9AE}" pid="4" name="ICV">
    <vt:lpwstr>C83D5A4A0E5A4E4DB064D062DBF02F41_12</vt:lpwstr>
  </property>
</Properties>
</file>