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版本号：SXJTZB-ZC-CS2025122320260104001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西安市公安局鄠邑分局交通管理大队更新车辆项目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SXJTZB-ZC-CS20251223</w:t>
      </w:r>
      <w:r>
        <w:br/>
      </w:r>
      <w:r>
        <w:br/>
      </w:r>
      <w:r>
        <w:br/>
      </w:r>
    </w:p>
    <w:p>
      <w:pPr>
        <w:pStyle w:val="null3"/>
        <w:jc w:val="center"/>
        <w:outlineLvl w:val="2"/>
      </w:pPr>
      <w:r>
        <w:rPr>
          <w:rFonts w:ascii="仿宋_GB2312" w:hAnsi="仿宋_GB2312" w:cs="仿宋_GB2312" w:eastAsia="仿宋_GB2312"/>
          <w:sz w:val="28"/>
          <w:b/>
        </w:rPr>
        <w:t>西安市公安局鄠邑区分局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西安市公安局鄠邑区分局</w:t>
      </w:r>
      <w:r>
        <w:rPr>
          <w:rFonts w:ascii="仿宋_GB2312" w:hAnsi="仿宋_GB2312" w:cs="仿宋_GB2312" w:eastAsia="仿宋_GB2312"/>
        </w:rPr>
        <w:t>委托，拟对</w:t>
      </w:r>
      <w:r>
        <w:rPr>
          <w:rFonts w:ascii="仿宋_GB2312" w:hAnsi="仿宋_GB2312" w:cs="仿宋_GB2312" w:eastAsia="仿宋_GB2312"/>
        </w:rPr>
        <w:t>西安市公安局鄠邑分局交通管理大队更新车辆项目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SXJTZB-ZC-CS20251223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西安市公安局鄠邑分局交通管理大队更新车辆项目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为满足公安机关日常执法执勤工作需求及保障工作，现需更新8辆警车。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12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西安市公安局鄠邑区分局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鄠邑甘亭街办政法路12号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029-84825691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张荷、贾婵、王琳娜、曾小旦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执行，不足壹万元按壹万元计取。成交单位在领取成交通知书前，须向采购代理机构一次性支付代理服务费。 服务费交纳信息： 银行户名：陕西嘉唐建设项目管理有限公司 开户银行：西安银行股份有限公司含光门支行 账 号：112011580000141313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西安市公安局鄠邑区分局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西安市公安局鄠邑区分局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符合国家、行业相关规定及采购人要求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联系人：张荷、贾婵、王琳娜、曾小旦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为满足公安机关日常执法执勤工作需求及保障工作，现需更新8辆警车。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西安市公安局鄠邑分局交通管理大队更新车辆项目</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标的名称：西安市公安局鄠邑分局交通管理大队更新车辆项目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5座插电式混动车（8辆）：</w:t>
            </w:r>
          </w:p>
          <w:tbl>
            <w:tblPr>
              <w:tblBorders>
                <w:top w:val="none" w:color="000000" w:sz="4"/>
                <w:left w:val="none" w:color="000000" w:sz="4"/>
                <w:bottom w:val="none" w:color="000000" w:sz="4"/>
                <w:right w:val="none" w:color="000000" w:sz="4"/>
                <w:insideH w:val="none"/>
                <w:insideV w:val="none"/>
              </w:tblBorders>
            </w:tblPr>
            <w:tblGrid>
              <w:gridCol w:w="413"/>
              <w:gridCol w:w="1015"/>
              <w:gridCol w:w="1112"/>
            </w:tblGrid>
            <w:tr>
              <w:tc>
                <w:tcPr>
                  <w:tcW w:type="dxa" w:w="413"/>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1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112"/>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技术参数及配置</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1</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2"/>
                    </w:rPr>
                    <w:t>排量</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jc w:val="both"/>
                  </w:pPr>
                  <w:r>
                    <w:rPr>
                      <w:rFonts w:ascii="仿宋_GB2312" w:hAnsi="仿宋_GB2312" w:cs="仿宋_GB2312" w:eastAsia="仿宋_GB2312"/>
                      <w:sz w:val="22"/>
                    </w:rPr>
                    <w:t>1.5L -1.6L</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2</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2"/>
                    </w:rPr>
                    <w:t>能源类型</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2"/>
                    </w:rPr>
                    <w:t>插电式混合动力</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3</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2"/>
                    </w:rPr>
                    <w:t>排放标准</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2"/>
                    </w:rPr>
                    <w:t>国</w:t>
                  </w:r>
                  <w:r>
                    <w:rPr>
                      <w:rFonts w:ascii="仿宋_GB2312" w:hAnsi="仿宋_GB2312" w:cs="仿宋_GB2312" w:eastAsia="仿宋_GB2312"/>
                      <w:sz w:val="21"/>
                    </w:rPr>
                    <w:t xml:space="preserve"> </w:t>
                  </w:r>
                  <w:r>
                    <w:rPr>
                      <w:rFonts w:ascii="仿宋_GB2312" w:hAnsi="仿宋_GB2312" w:cs="仿宋_GB2312" w:eastAsia="仿宋_GB2312"/>
                      <w:sz w:val="22"/>
                    </w:rPr>
                    <w:t>VI</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285"/>
                    <w:jc w:val="both"/>
                  </w:pPr>
                  <w:r>
                    <w:rPr>
                      <w:rFonts w:ascii="仿宋_GB2312" w:hAnsi="仿宋_GB2312" w:cs="仿宋_GB2312" w:eastAsia="仿宋_GB2312"/>
                      <w:sz w:val="22"/>
                    </w:rPr>
                    <w:t>4</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2"/>
                    </w:rPr>
                    <w:t>电池类型</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both"/>
                  </w:pPr>
                  <w:r>
                    <w:rPr>
                      <w:rFonts w:ascii="仿宋_GB2312" w:hAnsi="仿宋_GB2312" w:cs="仿宋_GB2312" w:eastAsia="仿宋_GB2312"/>
                      <w:sz w:val="22"/>
                    </w:rPr>
                    <w:t>磷酸铁锂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5</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电池</w:t>
                  </w:r>
                  <w:r>
                    <w:rPr>
                      <w:rFonts w:ascii="仿宋_GB2312" w:hAnsi="仿宋_GB2312" w:cs="仿宋_GB2312" w:eastAsia="仿宋_GB2312"/>
                      <w:sz w:val="22"/>
                    </w:rPr>
                    <w:t>容</w:t>
                  </w:r>
                  <w:r>
                    <w:rPr>
                      <w:rFonts w:ascii="仿宋_GB2312" w:hAnsi="仿宋_GB2312" w:cs="仿宋_GB2312" w:eastAsia="仿宋_GB2312"/>
                      <w:sz w:val="22"/>
                    </w:rPr>
                    <w:t>量</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≥7</w:t>
                  </w:r>
                  <w:r>
                    <w:rPr>
                      <w:rFonts w:ascii="仿宋_GB2312" w:hAnsi="仿宋_GB2312" w:cs="仿宋_GB2312" w:eastAsia="仿宋_GB2312"/>
                      <w:sz w:val="22"/>
                    </w:rPr>
                    <w:t>kWh</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6</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电机类型</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永磁</w:t>
                  </w:r>
                  <w:r>
                    <w:rPr>
                      <w:rFonts w:ascii="仿宋_GB2312" w:hAnsi="仿宋_GB2312" w:cs="仿宋_GB2312" w:eastAsia="仿宋_GB2312"/>
                      <w:sz w:val="22"/>
                    </w:rPr>
                    <w:t>/同步</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7</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电动机总功率</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0KW</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8</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CLTC</w:t>
                  </w:r>
                  <w:r>
                    <w:rPr>
                      <w:rFonts w:ascii="仿宋_GB2312" w:hAnsi="仿宋_GB2312" w:cs="仿宋_GB2312" w:eastAsia="仿宋_GB2312"/>
                      <w:sz w:val="21"/>
                    </w:rPr>
                    <w:t xml:space="preserve"> </w:t>
                  </w:r>
                  <w:r>
                    <w:rPr>
                      <w:rFonts w:ascii="仿宋_GB2312" w:hAnsi="仿宋_GB2312" w:cs="仿宋_GB2312" w:eastAsia="仿宋_GB2312"/>
                      <w:sz w:val="22"/>
                    </w:rPr>
                    <w:t>纯电续航里程</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≥5</w:t>
                  </w:r>
                  <w:r>
                    <w:rPr>
                      <w:rFonts w:ascii="仿宋_GB2312" w:hAnsi="仿宋_GB2312" w:cs="仿宋_GB2312" w:eastAsia="仿宋_GB2312"/>
                      <w:sz w:val="22"/>
                    </w:rPr>
                    <w:t>0KM</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300"/>
                    <w:jc w:val="both"/>
                  </w:pPr>
                  <w:r>
                    <w:rPr>
                      <w:rFonts w:ascii="仿宋_GB2312" w:hAnsi="仿宋_GB2312" w:cs="仿宋_GB2312" w:eastAsia="仿宋_GB2312"/>
                      <w:sz w:val="22"/>
                    </w:rPr>
                    <w:t>9</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发动机最大功率</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pPr>
                  <w:r>
                    <w:rPr>
                      <w:rFonts w:ascii="仿宋_GB2312" w:hAnsi="仿宋_GB2312" w:cs="仿宋_GB2312" w:eastAsia="仿宋_GB2312"/>
                      <w:sz w:val="22"/>
                    </w:rPr>
                    <w:t>≥</w:t>
                  </w:r>
                  <w:r>
                    <w:rPr>
                      <w:rFonts w:ascii="仿宋_GB2312" w:hAnsi="仿宋_GB2312" w:cs="仿宋_GB2312" w:eastAsia="仿宋_GB2312"/>
                      <w:sz w:val="22"/>
                    </w:rPr>
                    <w:t>100KM</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ind w:left="255"/>
                    <w:jc w:val="both"/>
                  </w:pPr>
                  <w:r>
                    <w:rPr>
                      <w:rFonts w:ascii="仿宋_GB2312" w:hAnsi="仿宋_GB2312" w:cs="仿宋_GB2312" w:eastAsia="仿宋_GB2312"/>
                      <w:sz w:val="22"/>
                    </w:rPr>
                    <w:t>10</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发动机和驱动形式</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前置前驱</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both"/>
                  </w:pPr>
                  <w:r>
                    <w:rPr>
                      <w:rFonts w:ascii="仿宋_GB2312" w:hAnsi="仿宋_GB2312" w:cs="仿宋_GB2312" w:eastAsia="仿宋_GB2312"/>
                      <w:sz w:val="22"/>
                    </w:rPr>
                    <w:t>11</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发动机最大扭矩</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20N*m</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both"/>
                  </w:pPr>
                  <w:r>
                    <w:rPr>
                      <w:rFonts w:ascii="仿宋_GB2312" w:hAnsi="仿宋_GB2312" w:cs="仿宋_GB2312" w:eastAsia="仿宋_GB2312"/>
                      <w:sz w:val="22"/>
                    </w:rPr>
                    <w:t>12</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车身总长</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70</w:t>
                  </w:r>
                  <w:r>
                    <w:rPr>
                      <w:rFonts w:ascii="仿宋_GB2312" w:hAnsi="仿宋_GB2312" w:cs="仿宋_GB2312" w:eastAsia="仿宋_GB2312"/>
                      <w:sz w:val="22"/>
                    </w:rPr>
                    <w:t>0mm</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both"/>
                  </w:pPr>
                  <w:r>
                    <w:rPr>
                      <w:rFonts w:ascii="仿宋_GB2312" w:hAnsi="仿宋_GB2312" w:cs="仿宋_GB2312" w:eastAsia="仿宋_GB2312"/>
                      <w:sz w:val="22"/>
                    </w:rPr>
                    <w:t>13</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车身总宽</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80</w:t>
                  </w:r>
                  <w:r>
                    <w:rPr>
                      <w:rFonts w:ascii="仿宋_GB2312" w:hAnsi="仿宋_GB2312" w:cs="仿宋_GB2312" w:eastAsia="仿宋_GB2312"/>
                      <w:sz w:val="22"/>
                    </w:rPr>
                    <w:t>0mm</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both"/>
                  </w:pPr>
                  <w:r>
                    <w:rPr>
                      <w:rFonts w:ascii="仿宋_GB2312" w:hAnsi="仿宋_GB2312" w:cs="仿宋_GB2312" w:eastAsia="仿宋_GB2312"/>
                      <w:sz w:val="22"/>
                    </w:rPr>
                    <w:t>14</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车身总高</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500</w:t>
                  </w:r>
                  <w:r>
                    <w:rPr>
                      <w:rFonts w:ascii="仿宋_GB2312" w:hAnsi="仿宋_GB2312" w:cs="仿宋_GB2312" w:eastAsia="仿宋_GB2312"/>
                      <w:sz w:val="22"/>
                    </w:rPr>
                    <w:t>mm</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both"/>
                  </w:pPr>
                  <w:r>
                    <w:rPr>
                      <w:rFonts w:ascii="仿宋_GB2312" w:hAnsi="仿宋_GB2312" w:cs="仿宋_GB2312" w:eastAsia="仿宋_GB2312"/>
                      <w:sz w:val="22"/>
                    </w:rPr>
                    <w:t>15</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轴距</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71</w:t>
                  </w:r>
                  <w:r>
                    <w:rPr>
                      <w:rFonts w:ascii="仿宋_GB2312" w:hAnsi="仿宋_GB2312" w:cs="仿宋_GB2312" w:eastAsia="仿宋_GB2312"/>
                      <w:sz w:val="22"/>
                    </w:rPr>
                    <w:t>0mm</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both"/>
                  </w:pPr>
                  <w:r>
                    <w:rPr>
                      <w:rFonts w:ascii="仿宋_GB2312" w:hAnsi="仿宋_GB2312" w:cs="仿宋_GB2312" w:eastAsia="仿宋_GB2312"/>
                      <w:sz w:val="22"/>
                    </w:rPr>
                    <w:t>16</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燃油箱容积</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35"/>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0L</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ind w:left="255"/>
                    <w:jc w:val="both"/>
                  </w:pPr>
                  <w:r>
                    <w:rPr>
                      <w:rFonts w:ascii="仿宋_GB2312" w:hAnsi="仿宋_GB2312" w:cs="仿宋_GB2312" w:eastAsia="仿宋_GB2312"/>
                      <w:sz w:val="22"/>
                    </w:rPr>
                    <w:t>17</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制动型式</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2"/>
                    </w:rPr>
                    <w:t>通风盘式</w:t>
                  </w:r>
                </w:p>
              </w:tc>
            </w:tr>
          </w:tbl>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采购合同签订后，成交单位提供合同金额全额发票，由采购人一次性100%支付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所有产品质量必须符合现行的国家标准或国家行政部门颁布的法律法规、规章制度等。没有国家标准的，可以参考行业标准。所有设备及辅材必须是未使用过的新产品，质量优良、渠道正当，配置合理。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1、质保期：整车质保不小于3年或10万公里（先到为准），从交货终验合格之日起计算。 2、所有产品质量必须符合现行的国家标准或国家行政部门颁布的法律法规、规章制度等。没有国家标准的，可以参考行业标准。所有设备及辅材必须是未使用过的新产品，质量优良、渠道正当，配置合理。 3、质保期出现的质量问题由成交人负责解决并承担所有费用。保修期后如需更换零部件，成交人应以优惠价提供。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小企业划分标准：本项目采购标的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12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按磋商文件要求签字、盖章均按磋商文件要求 签字、盖章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磋商方案说明书.docx 报价表 响应函 资格证明文件.docx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磋商方案说明书.docx 响应函 资格证明文件.docx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磋商方案说明书.docx 响应函 资格证明文件.docx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磋商方案说明书.docx 响应函 资格证明文件.docx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磋商方案说明书.docx 响应函 资格证明文件.docx 供应商承诺书.docx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应满足磋商文件中要求的交货期</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响应产品符合国内、国际相关标准且无产权纠纷，无假货、水货、翻新货，提供所投产品来源渠道合法证明文件（包括但不限于销售协议、代理协议、原厂授权等，提供证明材料计2分，不提供不得分。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完全符合、满足磋商文件技术要求的计17分，技术指标每有一条负偏离扣1分，本项分扣完为止。 注：须提供技术佐证材料，包括但不限于检测报告、官网截图等。未按要求提供佐证材料的视为技术参数负偏离。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评审内容：根据供应商提供的项目实施方案，包括①备货方案； ②运输方案； ③管理制度； ④生产工艺流程、产品质量检测措施； ⑤进度计划保障措施； ⑥应急措施等。评审标准：1.每项评审内容全面详细、阐述条理清晰详尽、符合本项目采购需求，能保障本项目实施得计3分；2.每项评审内容全面，内容基本合理但存在瑕疵计2分；3.每项评审内容简单空泛，无针对性计1分。4.评审内容每缺一项扣3分，6项共计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评审内容：供应商提供质量保证方案，内容包括①产品质量问题退货；②换货方案及退换承诺。 评审标准：1.每项评审内容全面详细、阐述条理清晰详尽、符合本项目采购需求，能保障本项目实施得计3分；2.每项评审内容全面，内容基本合理但存在瑕疵计2分；3.每项评审内容简单空泛，无针对性计1分。4.评审内容每缺一项扣3分，2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项目管理机构及人员配置</w:t>
            </w:r>
          </w:p>
        </w:tc>
        <w:tc>
          <w:tcPr>
            <w:tcW w:type="dxa" w:w="2492"/>
          </w:tcPr>
          <w:p>
            <w:pPr>
              <w:pStyle w:val="null3"/>
            </w:pPr>
            <w:r>
              <w:rPr>
                <w:rFonts w:ascii="仿宋_GB2312" w:hAnsi="仿宋_GB2312" w:cs="仿宋_GB2312" w:eastAsia="仿宋_GB2312"/>
              </w:rPr>
              <w:t>评审内容：供应商提供项目管理机构及人员配置方案，包括：①组织机构；②人员配置、工作职责。 评审标准：1.每项评审内容全面详细、阐述条理清晰详尽、符合本项目采购需求，能保障本项目实施得计3分；2.每项评审内容全面，内容基本合理但存在瑕疵计2分；3.每项评审内容简单空泛，无针对性计1分。4.评审内容每缺一项扣3分，2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评审内容：提供完善的售后服务方案，内容包含①售后服务流程；②服务响应时间；③售后服务机构、网点、售后服务人员团队、电话；④售后服务承诺。 评审标准：1.每项评审内容全面详细、阐述条理清晰详尽、符合本项目采购需求，能保障本项目实施得计3分；2.每项评审内容全面，内容基本合理但存在瑕疵计2分；3.每项评审内容简单空泛，无针对性计1分。4.评审内容每缺一项扣3分，4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提供完善的培训方案，内容包含内容包含①培训计划、培训时间②培训内容、培训方式等，包括但不限于车辆设备的基本结构、主要部件的构造，日常使用操作、保养与管理、常见故障的排除、紧急情况的处理等，保证最终用户能够熟练操作和日常维护、保养及简单故障的排除。 评审标准：1.每项评审内容全面详细、阐述条理清晰详尽、符合本项目采购需求，能保障本项目实施得计3分；2.每项评审内容全面，内容基本合理但存在瑕疵计2分；3.每项评审内容简单空泛，无针对性计1分。4.评审内容每缺一项扣3分，2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供应商提供2022年12月1日至今类似项目业绩合同（以合同签订时间为准），每提供1份得1分，最高得3分； 业绩证明材料（以完整的合同为准，须在响应文件中附合同的复印件加盖单位公章）弄虚作假者，取消其成交资格。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1.经初审合格的响应文件，其磋商报价为有效投标报价。2.满足磋商文件实质性要求且最终报价最低的 供应商的价格为评标基准价，其价格分为满分30分。 3.报价得分=（评标基准价/磋商报价）×30的公式 计算得分。 4.磋商报价不完整的，不进入评标标准价的计算，本项得0分。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