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F44FC">
      <w:pPr>
        <w:jc w:val="center"/>
        <w:rPr>
          <w:rFonts w:hint="eastAsia" w:ascii="仿宋" w:hAnsi="仿宋" w:eastAsia="仿宋" w:cs="仿宋"/>
          <w:b/>
          <w:bCs/>
          <w:kern w:val="0"/>
          <w:sz w:val="52"/>
          <w:szCs w:val="52"/>
          <w:highlight w:val="none"/>
          <w:lang w:eastAsia="zh-CN"/>
        </w:rPr>
      </w:pPr>
      <w:bookmarkStart w:id="0" w:name="_GoBack"/>
    </w:p>
    <w:p w14:paraId="6C7DB863">
      <w:pPr>
        <w:jc w:val="center"/>
        <w:rPr>
          <w:rFonts w:hint="eastAsia" w:ascii="仿宋" w:hAnsi="仿宋" w:eastAsia="仿宋" w:cs="仿宋"/>
          <w:b/>
          <w:bCs/>
          <w:kern w:val="0"/>
          <w:sz w:val="52"/>
          <w:szCs w:val="52"/>
          <w:highlight w:val="none"/>
          <w:lang w:eastAsia="zh-CN"/>
        </w:rPr>
      </w:pPr>
      <w:r>
        <w:rPr>
          <w:rFonts w:hint="eastAsia" w:ascii="仿宋" w:hAnsi="仿宋" w:eastAsia="仿宋" w:cs="仿宋"/>
          <w:b/>
          <w:bCs/>
          <w:kern w:val="0"/>
          <w:sz w:val="52"/>
          <w:szCs w:val="52"/>
          <w:highlight w:val="none"/>
          <w:lang w:eastAsia="zh-CN"/>
        </w:rPr>
        <w:t>西安市鄠邑区2026年农村义务教育学生营养改善计划食品采购项目（二次）</w:t>
      </w:r>
    </w:p>
    <w:p w14:paraId="7026B38E">
      <w:pPr>
        <w:pStyle w:val="3"/>
        <w:rPr>
          <w:rFonts w:hint="eastAsia" w:ascii="仿宋" w:hAnsi="仿宋" w:eastAsia="仿宋" w:cs="仿宋"/>
          <w:b/>
          <w:bCs/>
          <w:kern w:val="0"/>
          <w:sz w:val="52"/>
          <w:szCs w:val="52"/>
          <w:highlight w:val="none"/>
          <w:lang w:eastAsia="zh-CN"/>
        </w:rPr>
      </w:pPr>
    </w:p>
    <w:p w14:paraId="49078347">
      <w:pPr>
        <w:rPr>
          <w:rFonts w:hint="eastAsia" w:ascii="仿宋" w:hAnsi="仿宋" w:eastAsia="仿宋" w:cs="仿宋"/>
          <w:b/>
          <w:bCs/>
          <w:kern w:val="0"/>
          <w:sz w:val="52"/>
          <w:szCs w:val="52"/>
          <w:highlight w:val="none"/>
          <w:lang w:eastAsia="zh-CN"/>
        </w:rPr>
      </w:pPr>
    </w:p>
    <w:p w14:paraId="648DBF32">
      <w:pPr>
        <w:pStyle w:val="3"/>
        <w:rPr>
          <w:rFonts w:hint="eastAsia" w:ascii="仿宋" w:hAnsi="仿宋" w:eastAsia="仿宋" w:cs="仿宋"/>
          <w:highlight w:val="none"/>
        </w:rPr>
      </w:pPr>
    </w:p>
    <w:p w14:paraId="420B2654">
      <w:pPr>
        <w:pStyle w:val="3"/>
        <w:jc w:val="center"/>
        <w:rPr>
          <w:rFonts w:hint="eastAsia" w:ascii="仿宋" w:hAnsi="仿宋" w:eastAsia="仿宋" w:cs="仿宋"/>
          <w:b/>
          <w:bCs/>
          <w:kern w:val="0"/>
          <w:sz w:val="52"/>
          <w:szCs w:val="52"/>
          <w:highlight w:val="none"/>
          <w:lang w:val="en-US" w:eastAsia="zh-CN"/>
        </w:rPr>
      </w:pPr>
      <w:r>
        <w:rPr>
          <w:rFonts w:hint="eastAsia" w:ascii="仿宋" w:hAnsi="仿宋" w:eastAsia="仿宋" w:cs="仿宋"/>
          <w:b/>
          <w:bCs/>
          <w:kern w:val="0"/>
          <w:sz w:val="52"/>
          <w:szCs w:val="52"/>
          <w:highlight w:val="none"/>
          <w:lang w:val="en-US" w:eastAsia="zh-CN"/>
        </w:rPr>
        <w:t>供货合同</w:t>
      </w:r>
    </w:p>
    <w:p w14:paraId="52CCA564">
      <w:pPr>
        <w:jc w:val="center"/>
        <w:rPr>
          <w:rFonts w:hint="eastAsia" w:ascii="仿宋" w:hAnsi="仿宋" w:eastAsia="仿宋" w:cs="仿宋"/>
          <w:highlight w:val="none"/>
          <w:lang w:val="en-US" w:eastAsia="zh-CN"/>
        </w:rPr>
      </w:pPr>
      <w:r>
        <w:rPr>
          <w:rFonts w:hint="eastAsia" w:ascii="仿宋" w:hAnsi="仿宋" w:eastAsia="仿宋" w:cs="仿宋"/>
          <w:b/>
          <w:bCs/>
          <w:kern w:val="0"/>
          <w:sz w:val="52"/>
          <w:szCs w:val="52"/>
          <w:highlight w:val="none"/>
          <w:lang w:val="en-US" w:eastAsia="zh-CN"/>
        </w:rPr>
        <w:t>4包段</w:t>
      </w:r>
    </w:p>
    <w:p w14:paraId="44B0286E">
      <w:pPr>
        <w:rPr>
          <w:rFonts w:hint="eastAsia" w:ascii="仿宋" w:hAnsi="仿宋" w:eastAsia="仿宋" w:cs="仿宋"/>
          <w:highlight w:val="none"/>
          <w:lang w:val="en-US" w:eastAsia="zh-CN"/>
        </w:rPr>
      </w:pPr>
    </w:p>
    <w:p w14:paraId="219EEA29">
      <w:pPr>
        <w:pStyle w:val="3"/>
        <w:rPr>
          <w:rFonts w:hint="eastAsia" w:ascii="仿宋" w:hAnsi="仿宋" w:eastAsia="仿宋" w:cs="仿宋"/>
          <w:highlight w:val="none"/>
          <w:lang w:val="en-US" w:eastAsia="zh-CN"/>
        </w:rPr>
      </w:pPr>
    </w:p>
    <w:p w14:paraId="6BC0780F">
      <w:pPr>
        <w:pStyle w:val="3"/>
        <w:rPr>
          <w:rFonts w:hint="eastAsia" w:ascii="仿宋" w:hAnsi="仿宋" w:eastAsia="仿宋" w:cs="仿宋"/>
          <w:highlight w:val="none"/>
          <w:lang w:val="en-US" w:eastAsia="zh-CN"/>
        </w:rPr>
      </w:pPr>
    </w:p>
    <w:p w14:paraId="2C00AEA6">
      <w:pPr>
        <w:rPr>
          <w:rFonts w:hint="eastAsia" w:ascii="仿宋" w:hAnsi="仿宋" w:eastAsia="仿宋" w:cs="仿宋"/>
          <w:highlight w:val="none"/>
          <w:lang w:val="en-US" w:eastAsia="zh-CN"/>
        </w:rPr>
      </w:pPr>
    </w:p>
    <w:p w14:paraId="5025D237">
      <w:pPr>
        <w:rPr>
          <w:rFonts w:hint="eastAsia" w:ascii="仿宋" w:hAnsi="仿宋" w:eastAsia="仿宋" w:cs="仿宋"/>
          <w:highlight w:val="none"/>
          <w:lang w:val="en-US" w:eastAsia="zh-CN"/>
        </w:rPr>
      </w:pPr>
    </w:p>
    <w:p w14:paraId="7C6DF0C5">
      <w:pPr>
        <w:rPr>
          <w:rFonts w:hint="eastAsia" w:ascii="仿宋" w:hAnsi="仿宋" w:eastAsia="仿宋" w:cs="仿宋"/>
          <w:highlight w:val="none"/>
          <w:lang w:val="en-US" w:eastAsia="zh-CN"/>
        </w:rPr>
      </w:pPr>
    </w:p>
    <w:p w14:paraId="6CE843E3">
      <w:pPr>
        <w:rPr>
          <w:rFonts w:hint="eastAsia" w:ascii="仿宋" w:hAnsi="仿宋" w:eastAsia="仿宋" w:cs="仿宋"/>
          <w:highlight w:val="none"/>
          <w:lang w:val="en-US" w:eastAsia="zh-CN"/>
        </w:rPr>
      </w:pPr>
    </w:p>
    <w:p w14:paraId="3E6EB547">
      <w:pPr>
        <w:rPr>
          <w:rFonts w:hint="eastAsia" w:ascii="仿宋" w:hAnsi="仿宋" w:eastAsia="仿宋" w:cs="仿宋"/>
          <w:highlight w:val="none"/>
          <w:lang w:val="en-US" w:eastAsia="zh-CN"/>
        </w:rPr>
      </w:pPr>
    </w:p>
    <w:p w14:paraId="0FD4060E">
      <w:pPr>
        <w:rPr>
          <w:rFonts w:hint="eastAsia" w:ascii="仿宋" w:hAnsi="仿宋" w:eastAsia="仿宋" w:cs="仿宋"/>
          <w:highlight w:val="none"/>
          <w:lang w:val="en-US" w:eastAsia="zh-CN"/>
        </w:rPr>
      </w:pPr>
    </w:p>
    <w:p w14:paraId="097CE665">
      <w:pPr>
        <w:rPr>
          <w:rFonts w:hint="eastAsia" w:ascii="仿宋" w:hAnsi="仿宋" w:eastAsia="仿宋" w:cs="仿宋"/>
          <w:highlight w:val="none"/>
          <w:lang w:val="en-US" w:eastAsia="zh-CN"/>
        </w:rPr>
      </w:pPr>
    </w:p>
    <w:p w14:paraId="47A41D56">
      <w:pPr>
        <w:pStyle w:val="3"/>
        <w:rPr>
          <w:rFonts w:hint="eastAsia" w:ascii="仿宋" w:hAnsi="仿宋" w:eastAsia="仿宋" w:cs="仿宋"/>
          <w:highlight w:val="none"/>
          <w:lang w:val="en-US" w:eastAsia="zh-CN"/>
        </w:rPr>
      </w:pPr>
    </w:p>
    <w:p w14:paraId="1BB08EED">
      <w:pPr>
        <w:spacing w:line="360" w:lineRule="auto"/>
        <w:ind w:firstLine="1440" w:firstLineChars="400"/>
        <w:rPr>
          <w:rFonts w:hint="eastAsia" w:ascii="仿宋" w:hAnsi="仿宋" w:eastAsia="仿宋" w:cs="仿宋"/>
          <w:sz w:val="36"/>
          <w:szCs w:val="36"/>
          <w:highlight w:val="none"/>
        </w:rPr>
      </w:pPr>
      <w:r>
        <w:rPr>
          <w:rFonts w:hint="eastAsia" w:ascii="仿宋" w:hAnsi="仿宋" w:eastAsia="仿宋" w:cs="仿宋"/>
          <w:sz w:val="36"/>
          <w:szCs w:val="36"/>
          <w:highlight w:val="none"/>
        </w:rPr>
        <w:t>甲方</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 xml:space="preserve">          </w:t>
      </w:r>
      <w:r>
        <w:rPr>
          <w:rFonts w:hint="eastAsia" w:ascii="仿宋" w:hAnsi="仿宋" w:eastAsia="仿宋" w:cs="仿宋"/>
          <w:sz w:val="36"/>
          <w:szCs w:val="36"/>
          <w:highlight w:val="none"/>
        </w:rPr>
        <w:t xml:space="preserve">                                        </w:t>
      </w:r>
    </w:p>
    <w:p w14:paraId="6893239B">
      <w:pPr>
        <w:spacing w:line="360" w:lineRule="auto"/>
        <w:ind w:firstLine="1440" w:firstLineChars="4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rPr>
        <w:t>乙方</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 xml:space="preserve">  </w:t>
      </w:r>
    </w:p>
    <w:p w14:paraId="3A00022C">
      <w:pPr>
        <w:spacing w:line="360" w:lineRule="auto"/>
        <w:ind w:firstLine="2880" w:firstLineChars="8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年    月    日</w:t>
      </w:r>
    </w:p>
    <w:p w14:paraId="2B9F5A84">
      <w:pPr>
        <w:spacing w:line="360" w:lineRule="auto"/>
        <w:ind w:firstLine="480" w:firstLineChars="20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甲方：（以下简称甲方）</w:t>
      </w:r>
    </w:p>
    <w:p w14:paraId="1EE2EB32">
      <w:pPr>
        <w:spacing w:line="360" w:lineRule="auto"/>
        <w:ind w:firstLine="480" w:firstLineChars="20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乙方：（以下简称乙方）</w:t>
      </w:r>
    </w:p>
    <w:p w14:paraId="00CDB927">
      <w:pPr>
        <w:spacing w:line="360" w:lineRule="auto"/>
        <w:ind w:firstLine="480" w:firstLineChars="200"/>
        <w:rPr>
          <w:rFonts w:hint="eastAsia" w:ascii="仿宋" w:hAnsi="仿宋" w:eastAsia="仿宋" w:cs="仿宋"/>
          <w:b w:val="0"/>
          <w:bCs/>
          <w:sz w:val="24"/>
          <w:szCs w:val="24"/>
          <w:highlight w:val="none"/>
          <w:u w:val="single"/>
        </w:rPr>
      </w:pPr>
      <w:r>
        <w:rPr>
          <w:rFonts w:hint="eastAsia" w:ascii="仿宋" w:hAnsi="仿宋" w:eastAsia="仿宋" w:cs="仿宋"/>
          <w:b w:val="0"/>
          <w:bCs/>
          <w:sz w:val="24"/>
          <w:szCs w:val="24"/>
          <w:highlight w:val="none"/>
        </w:rPr>
        <w:t>根据《中华人民共和国政府采购法》及实施条例、《中华人民共和国民法典》和</w:t>
      </w:r>
      <w:r>
        <w:rPr>
          <w:rFonts w:hint="eastAsia" w:ascii="仿宋" w:hAnsi="仿宋" w:eastAsia="仿宋" w:cs="仿宋"/>
          <w:b w:val="0"/>
          <w:bCs/>
          <w:sz w:val="24"/>
          <w:szCs w:val="24"/>
          <w:highlight w:val="none"/>
          <w:lang w:eastAsia="zh-CN"/>
        </w:rPr>
        <w:t>（</w:t>
      </w:r>
      <w:r>
        <w:rPr>
          <w:rFonts w:hint="eastAsia" w:ascii="仿宋" w:hAnsi="仿宋" w:eastAsia="仿宋" w:cs="仿宋"/>
          <w:b w:val="0"/>
          <w:bCs/>
          <w:sz w:val="24"/>
          <w:szCs w:val="24"/>
          <w:highlight w:val="none"/>
          <w:u w:val="single"/>
        </w:rPr>
        <w:t>项</w:t>
      </w:r>
    </w:p>
    <w:p w14:paraId="0D7FDA66">
      <w:pPr>
        <w:spacing w:line="360" w:lineRule="auto"/>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u w:val="single"/>
        </w:rPr>
        <w:t>目名称</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u w:val="single"/>
        </w:rPr>
        <w:t>、项目编号</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u w:val="single"/>
        </w:rPr>
        <w:t>、</w:t>
      </w:r>
      <w:r>
        <w:rPr>
          <w:rFonts w:hint="eastAsia" w:ascii="仿宋" w:hAnsi="仿宋" w:eastAsia="仿宋" w:cs="仿宋"/>
          <w:b w:val="0"/>
          <w:bCs/>
          <w:sz w:val="24"/>
          <w:szCs w:val="24"/>
          <w:highlight w:val="none"/>
          <w:u w:val="single"/>
          <w:lang w:eastAsia="zh-CN"/>
        </w:rPr>
        <w:t>包段号</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rPr>
        <w:t>招标文件，为保证甲方采购项目的顺利实施，甲、乙双方同意签订本合同，并共同遵守如下条款：</w:t>
      </w:r>
    </w:p>
    <w:p w14:paraId="7E03F847">
      <w:pPr>
        <w:numPr>
          <w:ilvl w:val="0"/>
          <w:numId w:val="0"/>
        </w:numPr>
        <w:spacing w:line="360" w:lineRule="auto"/>
        <w:ind w:firstLine="482" w:firstLineChars="200"/>
        <w:rPr>
          <w:rFonts w:hint="eastAsia" w:ascii="仿宋" w:hAnsi="仿宋" w:eastAsia="仿宋" w:cs="仿宋"/>
          <w:b/>
          <w:bCs w:val="0"/>
          <w:highlight w:val="none"/>
        </w:rPr>
      </w:pPr>
      <w:r>
        <w:rPr>
          <w:rFonts w:hint="eastAsia" w:ascii="仿宋" w:hAnsi="仿宋" w:eastAsia="仿宋" w:cs="仿宋"/>
          <w:b/>
          <w:bCs w:val="0"/>
          <w:sz w:val="24"/>
          <w:szCs w:val="24"/>
          <w:highlight w:val="none"/>
          <w:lang w:val="en-US" w:eastAsia="zh-CN"/>
        </w:rPr>
        <w:t>一、</w:t>
      </w:r>
      <w:r>
        <w:rPr>
          <w:rFonts w:hint="eastAsia" w:ascii="仿宋" w:hAnsi="仿宋" w:eastAsia="仿宋" w:cs="仿宋"/>
          <w:b/>
          <w:bCs w:val="0"/>
          <w:sz w:val="24"/>
          <w:szCs w:val="24"/>
          <w:highlight w:val="none"/>
        </w:rPr>
        <w:t>产品名称、品种、规格、及价格</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8"/>
        <w:gridCol w:w="1548"/>
        <w:gridCol w:w="1548"/>
        <w:gridCol w:w="1548"/>
        <w:gridCol w:w="1548"/>
        <w:gridCol w:w="1548"/>
      </w:tblGrid>
      <w:tr w14:paraId="41BE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noWrap w:val="0"/>
            <w:vAlign w:val="center"/>
          </w:tcPr>
          <w:p w14:paraId="6409A7F1">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产品</w:t>
            </w:r>
          </w:p>
        </w:tc>
        <w:tc>
          <w:tcPr>
            <w:tcW w:w="1548" w:type="dxa"/>
            <w:noWrap w:val="0"/>
            <w:vAlign w:val="center"/>
          </w:tcPr>
          <w:p w14:paraId="24FBA31D">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标准要求</w:t>
            </w:r>
          </w:p>
        </w:tc>
        <w:tc>
          <w:tcPr>
            <w:tcW w:w="1548" w:type="dxa"/>
            <w:noWrap w:val="0"/>
            <w:vAlign w:val="center"/>
          </w:tcPr>
          <w:p w14:paraId="0B6C1807">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品牌</w:t>
            </w:r>
          </w:p>
        </w:tc>
        <w:tc>
          <w:tcPr>
            <w:tcW w:w="1548" w:type="dxa"/>
            <w:noWrap w:val="0"/>
            <w:vAlign w:val="center"/>
          </w:tcPr>
          <w:p w14:paraId="3739A0D2">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产品标识</w:t>
            </w:r>
          </w:p>
        </w:tc>
        <w:tc>
          <w:tcPr>
            <w:tcW w:w="1548" w:type="dxa"/>
            <w:noWrap w:val="0"/>
            <w:vAlign w:val="center"/>
          </w:tcPr>
          <w:p w14:paraId="7B8F5106">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规格</w:t>
            </w:r>
          </w:p>
        </w:tc>
        <w:tc>
          <w:tcPr>
            <w:tcW w:w="1548" w:type="dxa"/>
            <w:noWrap w:val="0"/>
            <w:vAlign w:val="center"/>
          </w:tcPr>
          <w:p w14:paraId="4287D7CD">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保质期</w:t>
            </w:r>
          </w:p>
        </w:tc>
      </w:tr>
      <w:tr w14:paraId="3970C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noWrap w:val="0"/>
            <w:vAlign w:val="center"/>
          </w:tcPr>
          <w:p w14:paraId="1470F658">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猪肉</w:t>
            </w:r>
          </w:p>
        </w:tc>
        <w:tc>
          <w:tcPr>
            <w:tcW w:w="1548" w:type="dxa"/>
            <w:noWrap w:val="0"/>
            <w:vAlign w:val="center"/>
          </w:tcPr>
          <w:p w14:paraId="6332E7E5">
            <w:pPr>
              <w:pStyle w:val="3"/>
              <w:jc w:val="center"/>
              <w:rPr>
                <w:rFonts w:hint="eastAsia" w:ascii="仿宋" w:hAnsi="仿宋" w:eastAsia="仿宋" w:cs="仿宋"/>
                <w:highlight w:val="none"/>
                <w:vertAlign w:val="baseline"/>
              </w:rPr>
            </w:pPr>
          </w:p>
        </w:tc>
        <w:tc>
          <w:tcPr>
            <w:tcW w:w="1548" w:type="dxa"/>
            <w:noWrap w:val="0"/>
            <w:vAlign w:val="center"/>
          </w:tcPr>
          <w:p w14:paraId="50975602">
            <w:pPr>
              <w:pStyle w:val="3"/>
              <w:jc w:val="center"/>
              <w:rPr>
                <w:rFonts w:hint="eastAsia" w:ascii="仿宋" w:hAnsi="仿宋" w:eastAsia="仿宋" w:cs="仿宋"/>
                <w:highlight w:val="none"/>
                <w:vertAlign w:val="baseline"/>
              </w:rPr>
            </w:pPr>
          </w:p>
        </w:tc>
        <w:tc>
          <w:tcPr>
            <w:tcW w:w="1548" w:type="dxa"/>
            <w:noWrap w:val="0"/>
            <w:vAlign w:val="center"/>
          </w:tcPr>
          <w:p w14:paraId="5AD436CD">
            <w:pPr>
              <w:pStyle w:val="3"/>
              <w:jc w:val="center"/>
              <w:rPr>
                <w:rFonts w:hint="eastAsia" w:ascii="仿宋" w:hAnsi="仿宋" w:eastAsia="仿宋" w:cs="仿宋"/>
                <w:highlight w:val="none"/>
                <w:vertAlign w:val="baseline"/>
              </w:rPr>
            </w:pPr>
          </w:p>
        </w:tc>
        <w:tc>
          <w:tcPr>
            <w:tcW w:w="1548" w:type="dxa"/>
            <w:noWrap w:val="0"/>
            <w:vAlign w:val="center"/>
          </w:tcPr>
          <w:p w14:paraId="4959ABFD">
            <w:pPr>
              <w:pStyle w:val="3"/>
              <w:jc w:val="center"/>
              <w:rPr>
                <w:rFonts w:hint="eastAsia" w:ascii="仿宋" w:hAnsi="仿宋" w:eastAsia="仿宋" w:cs="仿宋"/>
                <w:highlight w:val="none"/>
                <w:vertAlign w:val="baseline"/>
              </w:rPr>
            </w:pPr>
          </w:p>
        </w:tc>
        <w:tc>
          <w:tcPr>
            <w:tcW w:w="1548" w:type="dxa"/>
            <w:noWrap w:val="0"/>
            <w:vAlign w:val="center"/>
          </w:tcPr>
          <w:p w14:paraId="2180001E">
            <w:pPr>
              <w:pStyle w:val="3"/>
              <w:jc w:val="center"/>
              <w:rPr>
                <w:rFonts w:hint="eastAsia" w:ascii="仿宋" w:hAnsi="仿宋" w:eastAsia="仿宋" w:cs="仿宋"/>
                <w:highlight w:val="none"/>
                <w:vertAlign w:val="baseline"/>
              </w:rPr>
            </w:pPr>
          </w:p>
        </w:tc>
      </w:tr>
    </w:tbl>
    <w:p w14:paraId="6ECBF6EE">
      <w:pPr>
        <w:pStyle w:val="3"/>
        <w:keepNext w:val="0"/>
        <w:keepLines w:val="0"/>
        <w:pageBreakBefore w:val="0"/>
        <w:kinsoku/>
        <w:wordWrap/>
        <w:overflowPunct/>
        <w:topLinePunct w:val="0"/>
        <w:autoSpaceDE/>
        <w:autoSpaceDN/>
        <w:bidi w:val="0"/>
        <w:adjustRightInd/>
        <w:snapToGrid/>
        <w:spacing w:after="0" w:afterLines="0"/>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1、（猪肉）折扣</w:t>
      </w:r>
      <w:r>
        <w:rPr>
          <w:rFonts w:hint="eastAsia" w:ascii="仿宋" w:hAnsi="仿宋" w:eastAsia="仿宋" w:cs="仿宋"/>
          <w:highlight w:val="none"/>
          <w:u w:val="single"/>
          <w:lang w:val="en-US" w:eastAsia="zh-CN"/>
        </w:rPr>
        <w:t xml:space="preserve">    。（最终以折扣进行结算）</w:t>
      </w:r>
    </w:p>
    <w:p w14:paraId="1A334CCB">
      <w:pPr>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000000"/>
          <w:kern w:val="2"/>
          <w:sz w:val="24"/>
          <w:szCs w:val="24"/>
          <w:highlight w:val="none"/>
          <w:lang w:val="en-US" w:eastAsia="zh-CN" w:bidi="ar-SA"/>
        </w:rPr>
        <w:t>2、猪肉（不含排骨）</w:t>
      </w:r>
      <w:r>
        <w:rPr>
          <w:rFonts w:hint="eastAsia" w:ascii="仿宋" w:hAnsi="仿宋" w:eastAsia="仿宋" w:cs="仿宋"/>
          <w:b w:val="0"/>
          <w:bCs/>
          <w:color w:val="auto"/>
          <w:sz w:val="24"/>
          <w:szCs w:val="24"/>
          <w:highlight w:val="none"/>
          <w:lang w:val="en-US" w:eastAsia="zh-CN"/>
        </w:rPr>
        <w:t>按调研基准价格确定：每个月（若市场波动较大则每两周一次）着重对鄠邑区周边大型商超市、放心肉店、城北菜市场、许家河菜市场等地进行调研（超市特价不用）。以每月调研价格形成当月基准价（每次调研取平均价）。按照调研基准价及中标折扣换算出当月结算价</w:t>
      </w:r>
      <w:r>
        <w:rPr>
          <w:rFonts w:hint="eastAsia" w:ascii="仿宋" w:hAnsi="仿宋" w:eastAsia="仿宋" w:cs="仿宋"/>
          <w:bCs/>
          <w:sz w:val="24"/>
          <w:highlight w:val="none"/>
          <w:lang w:eastAsia="zh-CN"/>
        </w:rPr>
        <w:t>。</w:t>
      </w:r>
    </w:p>
    <w:p w14:paraId="6F5C925C">
      <w:pPr>
        <w:spacing w:line="360" w:lineRule="auto"/>
        <w:ind w:firstLine="480" w:firstLineChars="200"/>
        <w:rPr>
          <w:rFonts w:hint="eastAsia" w:ascii="仿宋" w:hAnsi="仿宋" w:eastAsia="仿宋" w:cs="仿宋"/>
          <w:highlight w:val="none"/>
        </w:rPr>
      </w:pPr>
      <w:r>
        <w:rPr>
          <w:rFonts w:hint="eastAsia" w:ascii="仿宋" w:hAnsi="仿宋" w:eastAsia="仿宋" w:cs="仿宋"/>
          <w:color w:val="000000"/>
          <w:kern w:val="2"/>
          <w:sz w:val="24"/>
          <w:szCs w:val="24"/>
          <w:highlight w:val="none"/>
          <w:lang w:val="en-US" w:eastAsia="zh-CN" w:bidi="ar-SA"/>
        </w:rPr>
        <w:t>3、调研基准价由询价小组确定，询价小组成员包括但不限于：签订合同的甲乙双方代表、学校代表（可邀请市场监管局工作人员）。</w:t>
      </w:r>
    </w:p>
    <w:p w14:paraId="39324949">
      <w:pPr>
        <w:pStyle w:val="3"/>
        <w:keepNext w:val="0"/>
        <w:keepLines w:val="0"/>
        <w:pageBreakBefore w:val="0"/>
        <w:kinsoku/>
        <w:wordWrap/>
        <w:overflowPunct/>
        <w:topLinePunct w:val="0"/>
        <w:autoSpaceDE/>
        <w:autoSpaceDN/>
        <w:bidi w:val="0"/>
        <w:adjustRightInd/>
        <w:snapToGrid/>
        <w:spacing w:after="0" w:afterLines="0"/>
        <w:ind w:firstLine="482" w:firstLineChars="200"/>
        <w:textAlignment w:val="auto"/>
        <w:rPr>
          <w:rFonts w:hint="eastAsia" w:ascii="仿宋" w:hAnsi="仿宋" w:eastAsia="仿宋" w:cs="仿宋"/>
          <w:b/>
          <w:bCs/>
          <w:highlight w:val="none"/>
        </w:rPr>
      </w:pPr>
      <w:r>
        <w:rPr>
          <w:rFonts w:hint="eastAsia" w:ascii="仿宋" w:hAnsi="仿宋" w:eastAsia="仿宋" w:cs="仿宋"/>
          <w:b/>
          <w:bCs/>
          <w:highlight w:val="none"/>
        </w:rPr>
        <w:t>二、供货时间及配送周期</w:t>
      </w:r>
    </w:p>
    <w:p w14:paraId="3F78AC20">
      <w:pPr>
        <w:pStyle w:val="3"/>
        <w:keepNext w:val="0"/>
        <w:keepLines w:val="0"/>
        <w:pageBreakBefore w:val="0"/>
        <w:kinsoku/>
        <w:wordWrap/>
        <w:overflowPunct/>
        <w:topLinePunct w:val="0"/>
        <w:autoSpaceDE/>
        <w:autoSpaceDN/>
        <w:bidi w:val="0"/>
        <w:adjustRightInd/>
        <w:snapToGrid/>
        <w:spacing w:after="0" w:afterLines="0"/>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1、供货时间：</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月—202</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年1月期间教学日</w:t>
      </w:r>
    </w:p>
    <w:p w14:paraId="7D6908DD">
      <w:pPr>
        <w:pStyle w:val="3"/>
        <w:keepNext w:val="0"/>
        <w:keepLines w:val="0"/>
        <w:pageBreakBefore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highlight w:val="none"/>
        </w:rPr>
        <w:t>2、配送周期：</w:t>
      </w:r>
      <w:r>
        <w:rPr>
          <w:rFonts w:hint="eastAsia" w:ascii="仿宋" w:hAnsi="仿宋" w:eastAsia="仿宋" w:cs="仿宋"/>
          <w:highlight w:val="none"/>
          <w:lang w:val="en-US" w:eastAsia="zh-CN"/>
        </w:rPr>
        <w:t>猪肉当天配送（每周四次，不含排骨</w:t>
      </w:r>
      <w:r>
        <w:rPr>
          <w:rFonts w:hint="eastAsia" w:ascii="仿宋" w:hAnsi="仿宋" w:eastAsia="仿宋" w:cs="仿宋"/>
          <w:sz w:val="24"/>
          <w:szCs w:val="24"/>
          <w:highlight w:val="none"/>
          <w:lang w:val="en-US" w:eastAsia="zh-CN"/>
        </w:rPr>
        <w:t>，具体配送根据学校的实际需求决定</w:t>
      </w:r>
      <w:r>
        <w:rPr>
          <w:rFonts w:hint="eastAsia" w:ascii="仿宋" w:hAnsi="仿宋" w:eastAsia="仿宋" w:cs="仿宋"/>
          <w:sz w:val="24"/>
          <w:szCs w:val="24"/>
          <w:highlight w:val="none"/>
        </w:rPr>
        <w:t>）；配送车辆定期检修、消毒，必须符合食品安全要求。</w:t>
      </w:r>
      <w:r>
        <w:rPr>
          <w:rFonts w:hint="eastAsia" w:ascii="仿宋" w:hAnsi="仿宋" w:eastAsia="仿宋" w:cs="仿宋"/>
          <w:sz w:val="24"/>
          <w:szCs w:val="24"/>
          <w:highlight w:val="none"/>
          <w:lang w:eastAsia="zh-CN"/>
        </w:rPr>
        <w:t>猪肉</w:t>
      </w:r>
      <w:r>
        <w:rPr>
          <w:rFonts w:hint="eastAsia" w:ascii="仿宋" w:hAnsi="仿宋" w:eastAsia="仿宋" w:cs="仿宋"/>
          <w:sz w:val="24"/>
          <w:szCs w:val="24"/>
          <w:highlight w:val="none"/>
        </w:rPr>
        <w:t>需配备冷链运输车辆运输。</w:t>
      </w:r>
    </w:p>
    <w:p w14:paraId="395F6F04">
      <w:pPr>
        <w:pStyle w:val="3"/>
        <w:keepNext w:val="0"/>
        <w:keepLines w:val="0"/>
        <w:pageBreakBefore w:val="0"/>
        <w:kinsoku/>
        <w:wordWrap/>
        <w:overflowPunct/>
        <w:topLinePunct w:val="0"/>
        <w:autoSpaceDE/>
        <w:autoSpaceDN/>
        <w:bidi w:val="0"/>
        <w:adjustRightInd/>
        <w:snapToGrid/>
        <w:spacing w:after="0" w:afterLines="0"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三、货物运输、储存与交货</w:t>
      </w:r>
    </w:p>
    <w:p w14:paraId="590EB49E">
      <w:pPr>
        <w:pStyle w:val="3"/>
        <w:keepNext w:val="0"/>
        <w:keepLines w:val="0"/>
        <w:pageBreakBefore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货物运输：①乙方应按甲方要求时间将所需货物运输至甲方指定地点，运输过程要保证货物的质量不受损害，运输过程中产生的费用和出现的损失由乙方承担；②使用车况良好、干净卫生、保证食品安全的车辆配送，以保证产品安全运输到达甲方指定地点。</w:t>
      </w:r>
    </w:p>
    <w:p w14:paraId="0F18FC6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2、货物储存：乙方应有符合卫生条件的产品储藏、保鲜体系和储存场所，空间能够保证空气良好的流通性、适宜储藏的温度等。</w:t>
      </w:r>
    </w:p>
    <w:p w14:paraId="37C6AF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3、货物交付：乙方在接甲方通知后要及时将货物运输至指定发放地点。</w:t>
      </w:r>
    </w:p>
    <w:p w14:paraId="37C0683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4、发货清单一式</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份</w:t>
      </w:r>
      <w:r>
        <w:rPr>
          <w:rFonts w:hint="eastAsia" w:ascii="仿宋" w:hAnsi="仿宋" w:eastAsia="仿宋" w:cs="仿宋"/>
          <w:sz w:val="24"/>
          <w:szCs w:val="24"/>
          <w:highlight w:val="none"/>
          <w:lang w:eastAsia="zh-CN"/>
        </w:rPr>
        <w:t>（学校、供应商各执一份留存）</w:t>
      </w:r>
      <w:r>
        <w:rPr>
          <w:rFonts w:hint="eastAsia" w:ascii="仿宋" w:hAnsi="仿宋" w:eastAsia="仿宋" w:cs="仿宋"/>
          <w:sz w:val="24"/>
          <w:szCs w:val="24"/>
          <w:highlight w:val="none"/>
        </w:rPr>
        <w:t>，内容一致，机器打印，不得涂改。清单应包括：生产日期、单价、数量，总数及总金额，送货人与学校</w:t>
      </w:r>
      <w:r>
        <w:rPr>
          <w:rFonts w:hint="eastAsia" w:ascii="仿宋" w:hAnsi="仿宋" w:eastAsia="仿宋" w:cs="仿宋"/>
          <w:sz w:val="24"/>
          <w:szCs w:val="24"/>
          <w:highlight w:val="none"/>
          <w:lang w:eastAsia="zh-CN"/>
        </w:rPr>
        <w:t>验收人、主管领导</w:t>
      </w:r>
      <w:r>
        <w:rPr>
          <w:rFonts w:hint="eastAsia" w:ascii="仿宋" w:hAnsi="仿宋" w:eastAsia="仿宋" w:cs="仿宋"/>
          <w:sz w:val="24"/>
          <w:szCs w:val="24"/>
          <w:highlight w:val="none"/>
        </w:rPr>
        <w:t>共同签名(加盖乙方公章）。</w:t>
      </w:r>
    </w:p>
    <w:p w14:paraId="3605841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5、乙方在产品运输的一天前，通知甲方指定学校，以按时接货。</w:t>
      </w:r>
    </w:p>
    <w:p w14:paraId="25390BA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6、产品在到达甲方指定地点前发生的不可预见的风险均由乙方负责。</w:t>
      </w:r>
    </w:p>
    <w:p w14:paraId="0CEA2800">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四、甲方职责</w:t>
      </w:r>
    </w:p>
    <w:p w14:paraId="7F28989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1、负责向乙方提供配送学校地址、联系人、学生人数。</w:t>
      </w:r>
    </w:p>
    <w:p w14:paraId="0E25633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2、负责协调解决乙方与学校联系供应中的相关事宜。</w:t>
      </w:r>
    </w:p>
    <w:p w14:paraId="02CC963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3、负责指导学校做好</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的接收、储存等相关工作。指导学校做好每批次</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的检查验收，确认食材的生产日期、保质期、产品质量、核对配送数量，各项合格后学校</w:t>
      </w:r>
      <w:r>
        <w:rPr>
          <w:rFonts w:hint="eastAsia" w:ascii="仿宋" w:hAnsi="仿宋" w:eastAsia="仿宋" w:cs="仿宋"/>
          <w:sz w:val="24"/>
          <w:szCs w:val="24"/>
          <w:highlight w:val="none"/>
          <w:lang w:eastAsia="zh-CN"/>
        </w:rPr>
        <w:t>验收</w:t>
      </w:r>
      <w:r>
        <w:rPr>
          <w:rFonts w:hint="eastAsia" w:ascii="仿宋" w:hAnsi="仿宋" w:eastAsia="仿宋" w:cs="仿宋"/>
          <w:sz w:val="24"/>
          <w:szCs w:val="24"/>
          <w:highlight w:val="none"/>
        </w:rPr>
        <w:t>人及主管领导在送货单上签字盖章。</w:t>
      </w:r>
    </w:p>
    <w:p w14:paraId="61BDC04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4、甲方有权对乙方供应产品随机进行抽查，抽查时乙方人员可随同，甲方有权监督查验乙方的资质及检查乙方配送</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的质量。</w:t>
      </w:r>
    </w:p>
    <w:p w14:paraId="7397893D">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五、乙方职责</w:t>
      </w:r>
    </w:p>
    <w:p w14:paraId="6736A0C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1、乙方使用专用车辆在规定时间内按甲方学校要求，及时提供新鲜</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每次配送前与学校沟通，按照规定标准和数量配送，禁止超量配送。</w:t>
      </w:r>
    </w:p>
    <w:p w14:paraId="3E3A648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2、乙方要向学校提供本批次的质检报告和产品合格证。每次配送到校，要作好交接手续，每月末与学校核实数量。</w:t>
      </w:r>
    </w:p>
    <w:p w14:paraId="660AEE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3、乙方所供</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生产厂家须取得有关生产许可证、营业执照、税务登记证、商标注册证等各类证件，并承诺向甲方供应的</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不过期、不变质、不变味、无杂质、无毒无害，符合国家食品卫生有关规定</w:t>
      </w:r>
      <w:r>
        <w:rPr>
          <w:rFonts w:hint="eastAsia" w:ascii="仿宋" w:hAnsi="仿宋" w:eastAsia="仿宋" w:cs="仿宋"/>
          <w:sz w:val="24"/>
          <w:szCs w:val="24"/>
          <w:highlight w:val="none"/>
          <w:lang w:val="en-US" w:eastAsia="zh-CN"/>
        </w:rPr>
        <w:t>及采购需求中规定的</w:t>
      </w:r>
      <w:r>
        <w:rPr>
          <w:rFonts w:hint="eastAsia" w:ascii="仿宋" w:hAnsi="仿宋" w:eastAsia="仿宋" w:cs="仿宋"/>
          <w:sz w:val="24"/>
          <w:szCs w:val="24"/>
          <w:highlight w:val="none"/>
        </w:rPr>
        <w:t>配</w:t>
      </w:r>
      <w:r>
        <w:rPr>
          <w:rFonts w:hint="eastAsia" w:ascii="仿宋" w:hAnsi="仿宋" w:eastAsia="仿宋" w:cs="仿宋"/>
          <w:sz w:val="24"/>
          <w:szCs w:val="24"/>
          <w:highlight w:val="none"/>
          <w:lang w:val="en-US" w:eastAsia="zh-CN"/>
        </w:rPr>
        <w:t>送要求</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猪肉应当天屠宰当天进行配送。</w:t>
      </w:r>
    </w:p>
    <w:p w14:paraId="51FC4C9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、严格按照甲方要求配送到校，因运输装卸过程造成的损耗（例如包装严重变形、破损、食品污损、变异等），发现破损、变异</w:t>
      </w:r>
      <w:r>
        <w:rPr>
          <w:rFonts w:hint="eastAsia" w:ascii="仿宋" w:hAnsi="仿宋" w:eastAsia="仿宋" w:cs="仿宋"/>
          <w:sz w:val="24"/>
          <w:szCs w:val="24"/>
          <w:highlight w:val="none"/>
          <w:lang w:val="en-US" w:eastAsia="zh-CN"/>
        </w:rPr>
        <w:t>等情况</w:t>
      </w:r>
      <w:r>
        <w:rPr>
          <w:rFonts w:hint="eastAsia" w:ascii="仿宋" w:hAnsi="仿宋" w:eastAsia="仿宋" w:cs="仿宋"/>
          <w:sz w:val="24"/>
          <w:szCs w:val="24"/>
          <w:highlight w:val="none"/>
        </w:rPr>
        <w:t>，必须无条件更换并不影响学生食用。</w:t>
      </w:r>
    </w:p>
    <w:p w14:paraId="64ADC66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、乙方用于配送</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的车辆要有合法手续，配送费用包含在中标价中，配送途中发生一切事故由乙方全权承担。</w:t>
      </w:r>
    </w:p>
    <w:p w14:paraId="30347EC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、乙方提供培训措施。（对甲方进行培训，如配送的各项产品如何存放，如何避免老鼠蟑螂，如何防潮。）</w:t>
      </w:r>
    </w:p>
    <w:p w14:paraId="188C084C">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六、质量保证</w:t>
      </w:r>
    </w:p>
    <w:p w14:paraId="6E873DA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1、乙方供应的</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必须符合本合同所订标准，对有质量问题的</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应及时回收并予以调换。</w:t>
      </w:r>
    </w:p>
    <w:p w14:paraId="07F18DC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2、乙方供应的</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应在保质期内，经质量监督或卫生部门检查认定存在问题，应立即停止配送并进行整改，若造成严重后果或重大食品安全事故的，甲方有权终止合同，乙方依法承担相应的法律责任。</w:t>
      </w:r>
    </w:p>
    <w:p w14:paraId="1442DCA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3、乙方未能按期按质按量送交</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或所送</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不符合合同规定的，甲方学校有权拒收。</w:t>
      </w:r>
    </w:p>
    <w:p w14:paraId="503870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4、由于乙方所供</w:t>
      </w:r>
      <w:r>
        <w:rPr>
          <w:rFonts w:hint="eastAsia" w:ascii="仿宋" w:hAnsi="仿宋" w:eastAsia="仿宋" w:cs="仿宋"/>
          <w:sz w:val="24"/>
          <w:szCs w:val="24"/>
          <w:highlight w:val="none"/>
          <w:lang w:val="en-US" w:eastAsia="zh-CN"/>
        </w:rPr>
        <w:t>猪肉</w:t>
      </w:r>
      <w:r>
        <w:rPr>
          <w:rFonts w:hint="eastAsia" w:ascii="仿宋" w:hAnsi="仿宋" w:eastAsia="仿宋" w:cs="仿宋"/>
          <w:sz w:val="24"/>
          <w:szCs w:val="24"/>
          <w:highlight w:val="none"/>
        </w:rPr>
        <w:t>的质量问题导致甲方所在学校学生发生食物中毒事件时（必须有国家相关质量监督或卫生职能部门认定相关责任），其后果一律由乙方承担，除赔偿甲方损失外，并承担相应法律责任，同时甲方有权终止合同。</w:t>
      </w:r>
    </w:p>
    <w:p w14:paraId="55B646C3">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七、结算方式</w:t>
      </w:r>
    </w:p>
    <w:p w14:paraId="373047A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付款方式：</w:t>
      </w:r>
    </w:p>
    <w:p w14:paraId="0239225C">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snapToGrid w:val="0"/>
          <w:color w:val="000000"/>
          <w:spacing w:val="0"/>
          <w:kern w:val="0"/>
          <w:sz w:val="24"/>
          <w:szCs w:val="24"/>
          <w:highlight w:val="none"/>
        </w:rPr>
      </w:pPr>
      <w:r>
        <w:rPr>
          <w:rFonts w:hint="eastAsia" w:ascii="仿宋" w:hAnsi="仿宋" w:eastAsia="仿宋" w:cs="仿宋"/>
          <w:snapToGrid w:val="0"/>
          <w:color w:val="000000"/>
          <w:spacing w:val="0"/>
          <w:kern w:val="0"/>
          <w:sz w:val="24"/>
          <w:szCs w:val="24"/>
          <w:highlight w:val="none"/>
        </w:rPr>
        <w:t>（1）每学期开学一月后，支付当学期货款总额的40%，学期结束据实结算剩余货款</w:t>
      </w:r>
      <w:r>
        <w:rPr>
          <w:rFonts w:hint="eastAsia" w:ascii="仿宋" w:hAnsi="仿宋" w:eastAsia="仿宋" w:cs="仿宋"/>
          <w:sz w:val="24"/>
          <w:szCs w:val="24"/>
          <w:highlight w:val="none"/>
        </w:rPr>
        <w:t>(除节假日、财务审计、财务预决算、银行支付系统升级等不可抗拒的因素)</w:t>
      </w:r>
      <w:r>
        <w:rPr>
          <w:rFonts w:hint="eastAsia" w:ascii="仿宋" w:hAnsi="仿宋" w:eastAsia="仿宋" w:cs="仿宋"/>
          <w:snapToGrid w:val="0"/>
          <w:color w:val="000000"/>
          <w:spacing w:val="0"/>
          <w:kern w:val="0"/>
          <w:sz w:val="24"/>
          <w:szCs w:val="24"/>
          <w:highlight w:val="none"/>
        </w:rPr>
        <w:t>。</w:t>
      </w:r>
    </w:p>
    <w:p w14:paraId="1CE62D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napToGrid w:val="0"/>
          <w:color w:val="000000"/>
          <w:spacing w:val="0"/>
          <w:kern w:val="0"/>
          <w:sz w:val="24"/>
          <w:szCs w:val="24"/>
          <w:highlight w:val="none"/>
        </w:rPr>
        <w:t>（2）供应商应于采购人每次付款前向采购人开具等额发票。因供应商迟延开票，采购人有权拒不付款且不承担任何责任。</w:t>
      </w:r>
    </w:p>
    <w:p w14:paraId="46AB04D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乙方收款账号名称：</w:t>
      </w:r>
    </w:p>
    <w:p w14:paraId="40D4688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开户行：</w:t>
      </w:r>
      <w:r>
        <w:rPr>
          <w:rFonts w:hint="eastAsia" w:ascii="仿宋" w:hAnsi="仿宋" w:eastAsia="仿宋" w:cs="仿宋"/>
          <w:color w:val="000000"/>
          <w:kern w:val="0"/>
          <w:sz w:val="24"/>
          <w:szCs w:val="24"/>
          <w:highlight w:val="none"/>
          <w:u w:val="single"/>
          <w:lang w:val="en-US" w:eastAsia="zh-CN" w:bidi="ar"/>
        </w:rPr>
        <w:t xml:space="preserve">       </w:t>
      </w:r>
    </w:p>
    <w:p w14:paraId="3FF72D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账号： </w:t>
      </w:r>
    </w:p>
    <w:p w14:paraId="7ED9A595">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八、争议处理 </w:t>
      </w:r>
    </w:p>
    <w:p w14:paraId="30C1F94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本合同未尽事宜，双方友好协商达成解决方案，经双方签字后，可作为本合同的有效附件。 </w:t>
      </w:r>
    </w:p>
    <w:p w14:paraId="196A19F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如合同发生争议，在双方协商无效的情况下，甲乙双方均有权向乙方所在地人民法院提起诉讼。 </w:t>
      </w:r>
    </w:p>
    <w:p w14:paraId="59A14007">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九、其它 </w:t>
      </w:r>
    </w:p>
    <w:p w14:paraId="1700158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1、如遇政策调整或地域划拨管理等不可抗拒因素，甲方有权修改供货学校数量及供货量。 </w:t>
      </w:r>
    </w:p>
    <w:p w14:paraId="713F4CB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2、乙方应充分考虑因上级政策调整营养改善计划实施范围而引起学校、学生数量 缩减，从而导致供货数量减少的风险及履约期间原材料市场价格的波动导致成本增加的 风险。 </w:t>
      </w:r>
    </w:p>
    <w:p w14:paraId="4D4345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如因地震、洪涝灾害、台风、流行性疾病等不可抗因素，导致乙方供应的货物不能如期配送的，征得甲方同意后，在应急供货期内乙方应提供同等或优于中标货物质量的产品，作为临时应急供应，但应急供应期原则上不超过一个月。 </w:t>
      </w:r>
    </w:p>
    <w:p w14:paraId="4B38AE5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4、合同所有附件均为合同的有效组成部分，与合同具有同等法律效力。 </w:t>
      </w:r>
    </w:p>
    <w:p w14:paraId="234362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5、合同履行期间，所有经甲乙双方签署确认的文件（包括会议纪要、补充协议、往来信函）均为本合同有效组成部分，其生效日期为双方签字盖章或确认之日期。 </w:t>
      </w:r>
    </w:p>
    <w:p w14:paraId="4BE81C1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6、除甲方事先书面同意外，乙方不得部分或全部转让其应履行的合同义务。 </w:t>
      </w:r>
    </w:p>
    <w:p w14:paraId="334EDAA6">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十、合同有效期 </w:t>
      </w:r>
    </w:p>
    <w:p w14:paraId="5C1CD5B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本合同一式</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份，其中，采供双方各执</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份，监管部门备案</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份。各方签字盖章后生效，合同执行完毕自动失效。（合同的服务承诺长期有效）。</w:t>
      </w:r>
    </w:p>
    <w:p w14:paraId="55E752D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14:paraId="18503F1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   （盖章）                      乙方：   （盖章）</w:t>
      </w:r>
    </w:p>
    <w:p w14:paraId="5D679F9F">
      <w:pPr>
        <w:ind w:firstLine="480" w:firstLineChars="200"/>
        <w:rPr>
          <w:highlight w:val="none"/>
        </w:rPr>
      </w:pPr>
      <w:r>
        <w:rPr>
          <w:rFonts w:hint="eastAsia" w:ascii="仿宋" w:hAnsi="仿宋" w:eastAsia="仿宋" w:cs="仿宋"/>
          <w:sz w:val="24"/>
          <w:szCs w:val="24"/>
          <w:highlight w:val="none"/>
        </w:rPr>
        <w:t>法定代表人（授权代表）：</w:t>
      </w:r>
      <w:r>
        <w:rPr>
          <w:rFonts w:hint="eastAsia" w:ascii="仿宋" w:hAnsi="仿宋" w:eastAsia="仿宋" w:cs="仿宋"/>
          <w:sz w:val="24"/>
          <w:szCs w:val="24"/>
          <w:highlight w:val="none"/>
          <w:lang w:eastAsia="zh-CN"/>
        </w:rPr>
        <w:t>（签字）</w:t>
      </w:r>
      <w:r>
        <w:rPr>
          <w:rFonts w:hint="eastAsia" w:ascii="仿宋" w:hAnsi="仿宋" w:eastAsia="仿宋" w:cs="仿宋"/>
          <w:sz w:val="24"/>
          <w:szCs w:val="24"/>
          <w:highlight w:val="none"/>
        </w:rPr>
        <w:t>：       法定代表人（授权代表）：（</w:t>
      </w:r>
      <w:r>
        <w:rPr>
          <w:rFonts w:hint="eastAsia" w:ascii="仿宋" w:hAnsi="仿宋" w:eastAsia="仿宋" w:cs="仿宋"/>
          <w:sz w:val="24"/>
          <w:szCs w:val="24"/>
          <w:highlight w:val="none"/>
          <w:lang w:eastAsia="zh-CN"/>
        </w:rPr>
        <w:t>签字</w:t>
      </w:r>
      <w:r>
        <w:rPr>
          <w:rFonts w:hint="eastAsia" w:ascii="仿宋" w:hAnsi="仿宋" w:eastAsia="仿宋" w:cs="仿宋"/>
          <w:sz w:val="24"/>
          <w:szCs w:val="24"/>
          <w:highlight w:val="none"/>
        </w:rPr>
        <w:t>）：</w:t>
      </w:r>
    </w:p>
    <w:p w14:paraId="3D0E9CF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电    话 ：                            电    话：</w:t>
      </w:r>
    </w:p>
    <w:p w14:paraId="2004DEC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签约日期： 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签约日期：  年   月   日</w:t>
      </w:r>
    </w:p>
    <w:p w14:paraId="3F11ECB5">
      <w:pPr>
        <w:spacing w:line="360" w:lineRule="auto"/>
        <w:ind w:firstLine="480" w:firstLineChars="200"/>
        <w:rPr>
          <w:rFonts w:hint="eastAsia" w:ascii="仿宋" w:hAnsi="仿宋" w:eastAsia="仿宋" w:cs="仿宋"/>
          <w:sz w:val="24"/>
          <w:szCs w:val="24"/>
          <w:highlight w:val="none"/>
        </w:rPr>
      </w:pPr>
    </w:p>
    <w:p w14:paraId="2BA96FBA">
      <w:pPr>
        <w:pStyle w:val="2"/>
        <w:rPr>
          <w:rFonts w:hint="eastAsia" w:ascii="仿宋" w:hAnsi="仿宋" w:eastAsia="仿宋" w:cs="仿宋"/>
          <w:sz w:val="24"/>
          <w:highlight w:val="none"/>
        </w:rPr>
      </w:pPr>
    </w:p>
    <w:p w14:paraId="5A20EE4F">
      <w:pPr>
        <w:pStyle w:val="3"/>
        <w:rPr>
          <w:rFonts w:hint="eastAsia" w:ascii="仿宋" w:hAnsi="仿宋" w:eastAsia="仿宋" w:cs="仿宋"/>
          <w:highlight w:val="none"/>
        </w:rPr>
      </w:pPr>
    </w:p>
    <w:p w14:paraId="623B703F">
      <w:pPr>
        <w:rPr>
          <w:rFonts w:hint="eastAsia" w:ascii="仿宋" w:hAnsi="仿宋" w:eastAsia="仿宋" w:cs="仿宋"/>
          <w:highlight w:val="none"/>
        </w:rPr>
      </w:pPr>
    </w:p>
    <w:p w14:paraId="4DB72D48">
      <w:pPr>
        <w:pStyle w:val="3"/>
        <w:rPr>
          <w:rFonts w:hint="eastAsia" w:ascii="仿宋" w:hAnsi="仿宋" w:eastAsia="仿宋" w:cs="仿宋"/>
          <w:highlight w:val="none"/>
        </w:rPr>
      </w:pPr>
    </w:p>
    <w:p w14:paraId="20BBCF9D">
      <w:pPr>
        <w:rPr>
          <w:rFonts w:hint="eastAsia" w:ascii="仿宋" w:hAnsi="仿宋" w:eastAsia="仿宋" w:cs="仿宋"/>
          <w:highlight w:val="none"/>
        </w:rPr>
      </w:pPr>
    </w:p>
    <w:p w14:paraId="4C28DB07">
      <w:pPr>
        <w:pStyle w:val="3"/>
        <w:rPr>
          <w:rFonts w:hint="eastAsia" w:ascii="仿宋" w:hAnsi="仿宋" w:eastAsia="仿宋" w:cs="仿宋"/>
          <w:highlight w:val="none"/>
        </w:rPr>
      </w:pPr>
    </w:p>
    <w:p w14:paraId="36C7CCC5">
      <w:pPr>
        <w:rPr>
          <w:rFonts w:hint="eastAsia" w:ascii="仿宋" w:hAnsi="仿宋" w:eastAsia="仿宋" w:cs="仿宋"/>
          <w:highlight w:val="none"/>
        </w:rPr>
      </w:pPr>
    </w:p>
    <w:p w14:paraId="46E87395">
      <w:pPr>
        <w:rPr>
          <w:rFonts w:hint="eastAsia" w:ascii="仿宋" w:hAnsi="仿宋" w:eastAsia="仿宋" w:cs="仿宋"/>
          <w:highlight w:val="none"/>
        </w:rPr>
      </w:pPr>
    </w:p>
    <w:p w14:paraId="72C5EFA5">
      <w:pPr>
        <w:rPr>
          <w:rFonts w:hint="eastAsia" w:ascii="仿宋" w:hAnsi="仿宋" w:eastAsia="仿宋" w:cs="仿宋"/>
          <w:highlight w:val="none"/>
        </w:rPr>
      </w:pPr>
    </w:p>
    <w:p w14:paraId="153E0251">
      <w:pPr>
        <w:rPr>
          <w:rFonts w:hint="eastAsia" w:ascii="仿宋" w:hAnsi="仿宋" w:eastAsia="仿宋" w:cs="仿宋"/>
          <w:highlight w:val="none"/>
        </w:rPr>
      </w:pPr>
    </w:p>
    <w:p w14:paraId="00480717">
      <w:pPr>
        <w:rPr>
          <w:rFonts w:hint="eastAsia" w:ascii="仿宋" w:hAnsi="仿宋" w:eastAsia="仿宋" w:cs="仿宋"/>
          <w:highlight w:val="none"/>
        </w:rPr>
      </w:pPr>
    </w:p>
    <w:p w14:paraId="1781C18F">
      <w:pPr>
        <w:rPr>
          <w:rFonts w:hint="eastAsia" w:ascii="仿宋" w:hAnsi="仿宋" w:eastAsia="仿宋" w:cs="仿宋"/>
          <w:highlight w:val="none"/>
        </w:rPr>
      </w:pPr>
    </w:p>
    <w:p w14:paraId="1CFA59F9">
      <w:pPr>
        <w:rPr>
          <w:rFonts w:hint="eastAsia" w:ascii="仿宋" w:hAnsi="仿宋" w:eastAsia="仿宋" w:cs="仿宋"/>
          <w:highlight w:val="none"/>
        </w:rPr>
      </w:pPr>
    </w:p>
    <w:p w14:paraId="00DDADFB">
      <w:pPr>
        <w:rPr>
          <w:rFonts w:hint="eastAsia" w:ascii="仿宋" w:hAnsi="仿宋" w:eastAsia="仿宋" w:cs="仿宋"/>
          <w:highlight w:val="none"/>
        </w:rPr>
      </w:pPr>
    </w:p>
    <w:p w14:paraId="3A83461C">
      <w:pPr>
        <w:rPr>
          <w:rFonts w:hint="eastAsia" w:ascii="仿宋" w:hAnsi="仿宋" w:eastAsia="仿宋" w:cs="仿宋"/>
          <w:highlight w:val="none"/>
        </w:rPr>
      </w:pPr>
    </w:p>
    <w:p w14:paraId="252F6664">
      <w:pPr>
        <w:rPr>
          <w:rFonts w:hint="eastAsia" w:ascii="仿宋" w:hAnsi="仿宋" w:eastAsia="仿宋" w:cs="仿宋"/>
          <w:highlight w:val="none"/>
        </w:rPr>
      </w:pPr>
    </w:p>
    <w:p w14:paraId="385CA6B5">
      <w:pPr>
        <w:rPr>
          <w:rFonts w:hint="eastAsia" w:ascii="仿宋" w:hAnsi="仿宋" w:eastAsia="仿宋" w:cs="仿宋"/>
          <w:highlight w:val="none"/>
        </w:rPr>
      </w:pPr>
    </w:p>
    <w:p w14:paraId="1E2F93F8">
      <w:pPr>
        <w:rPr>
          <w:rFonts w:hint="eastAsia" w:ascii="仿宋" w:hAnsi="仿宋" w:eastAsia="仿宋" w:cs="仿宋"/>
          <w:highlight w:val="none"/>
        </w:rPr>
      </w:pPr>
    </w:p>
    <w:p w14:paraId="24E0CB36">
      <w:pPr>
        <w:rPr>
          <w:rFonts w:hint="eastAsia" w:ascii="仿宋" w:hAnsi="仿宋" w:eastAsia="仿宋" w:cs="仿宋"/>
          <w:highlight w:val="none"/>
        </w:rPr>
      </w:pPr>
    </w:p>
    <w:p w14:paraId="7DFB59AE">
      <w:pPr>
        <w:jc w:val="both"/>
        <w:rPr>
          <w:rFonts w:hint="eastAsia" w:ascii="仿宋" w:hAnsi="仿宋" w:eastAsia="仿宋" w:cs="仿宋"/>
          <w:b/>
          <w:bCs/>
          <w:kern w:val="0"/>
          <w:sz w:val="52"/>
          <w:szCs w:val="52"/>
          <w:highlight w:val="none"/>
          <w:lang w:eastAsia="zh-CN"/>
        </w:rPr>
      </w:pPr>
    </w:p>
    <w:p w14:paraId="32FD508C">
      <w:pPr>
        <w:jc w:val="both"/>
        <w:rPr>
          <w:rFonts w:hint="eastAsia" w:ascii="仿宋" w:hAnsi="仿宋" w:eastAsia="仿宋" w:cs="仿宋"/>
          <w:b/>
          <w:bCs/>
          <w:kern w:val="0"/>
          <w:sz w:val="52"/>
          <w:szCs w:val="52"/>
          <w:highlight w:val="none"/>
          <w:lang w:eastAsia="zh-CN"/>
        </w:rPr>
      </w:pPr>
    </w:p>
    <w:p w14:paraId="23231BE4">
      <w:pPr>
        <w:jc w:val="center"/>
        <w:rPr>
          <w:rFonts w:hint="eastAsia" w:ascii="仿宋" w:hAnsi="仿宋" w:eastAsia="仿宋" w:cs="仿宋"/>
          <w:b/>
          <w:bCs/>
          <w:kern w:val="0"/>
          <w:sz w:val="52"/>
          <w:szCs w:val="52"/>
          <w:highlight w:val="none"/>
          <w:lang w:eastAsia="zh-CN"/>
        </w:rPr>
      </w:pPr>
      <w:r>
        <w:rPr>
          <w:rFonts w:hint="eastAsia" w:ascii="仿宋" w:hAnsi="仿宋" w:eastAsia="仿宋" w:cs="仿宋"/>
          <w:b/>
          <w:bCs/>
          <w:kern w:val="0"/>
          <w:sz w:val="52"/>
          <w:szCs w:val="52"/>
          <w:highlight w:val="none"/>
          <w:lang w:eastAsia="zh-CN"/>
        </w:rPr>
        <w:t>西安市鄠邑区2026年农村义务教育学生营养改善计划食品采购项目（二次）</w:t>
      </w:r>
    </w:p>
    <w:p w14:paraId="138A5156">
      <w:pPr>
        <w:pStyle w:val="3"/>
        <w:rPr>
          <w:rFonts w:hint="eastAsia" w:ascii="仿宋" w:hAnsi="仿宋" w:eastAsia="仿宋" w:cs="仿宋"/>
          <w:b/>
          <w:bCs/>
          <w:kern w:val="0"/>
          <w:sz w:val="52"/>
          <w:szCs w:val="52"/>
          <w:highlight w:val="none"/>
          <w:lang w:eastAsia="zh-CN"/>
        </w:rPr>
      </w:pPr>
    </w:p>
    <w:p w14:paraId="59453EC2">
      <w:pPr>
        <w:rPr>
          <w:rFonts w:hint="eastAsia" w:ascii="仿宋" w:hAnsi="仿宋" w:eastAsia="仿宋" w:cs="仿宋"/>
          <w:b/>
          <w:bCs/>
          <w:kern w:val="0"/>
          <w:sz w:val="52"/>
          <w:szCs w:val="52"/>
          <w:highlight w:val="none"/>
          <w:lang w:eastAsia="zh-CN"/>
        </w:rPr>
      </w:pPr>
    </w:p>
    <w:p w14:paraId="38EE964E">
      <w:pPr>
        <w:pStyle w:val="3"/>
        <w:rPr>
          <w:rFonts w:hint="eastAsia" w:ascii="仿宋" w:hAnsi="仿宋" w:eastAsia="仿宋" w:cs="仿宋"/>
          <w:highlight w:val="none"/>
        </w:rPr>
      </w:pPr>
    </w:p>
    <w:p w14:paraId="725E0118">
      <w:pPr>
        <w:pStyle w:val="3"/>
        <w:jc w:val="center"/>
        <w:rPr>
          <w:rFonts w:hint="eastAsia" w:ascii="仿宋" w:hAnsi="仿宋" w:eastAsia="仿宋" w:cs="仿宋"/>
          <w:b/>
          <w:bCs/>
          <w:kern w:val="0"/>
          <w:sz w:val="52"/>
          <w:szCs w:val="52"/>
          <w:highlight w:val="none"/>
          <w:lang w:val="en-US" w:eastAsia="zh-CN"/>
        </w:rPr>
      </w:pPr>
      <w:r>
        <w:rPr>
          <w:rFonts w:hint="eastAsia" w:ascii="仿宋" w:hAnsi="仿宋" w:eastAsia="仿宋" w:cs="仿宋"/>
          <w:b/>
          <w:bCs/>
          <w:kern w:val="0"/>
          <w:sz w:val="52"/>
          <w:szCs w:val="52"/>
          <w:highlight w:val="none"/>
          <w:lang w:val="en-US" w:eastAsia="zh-CN"/>
        </w:rPr>
        <w:t>供货合同</w:t>
      </w:r>
    </w:p>
    <w:p w14:paraId="6C7F27FF">
      <w:pPr>
        <w:pStyle w:val="3"/>
        <w:jc w:val="center"/>
        <w:rPr>
          <w:rFonts w:hint="eastAsia" w:ascii="仿宋" w:hAnsi="仿宋" w:eastAsia="仿宋" w:cs="仿宋"/>
          <w:b/>
          <w:bCs/>
          <w:kern w:val="0"/>
          <w:sz w:val="52"/>
          <w:szCs w:val="52"/>
          <w:highlight w:val="none"/>
          <w:lang w:val="en-US" w:eastAsia="zh-CN"/>
        </w:rPr>
      </w:pPr>
      <w:r>
        <w:rPr>
          <w:rFonts w:hint="eastAsia" w:ascii="仿宋" w:hAnsi="仿宋" w:eastAsia="仿宋" w:cs="仿宋"/>
          <w:b/>
          <w:bCs/>
          <w:kern w:val="0"/>
          <w:sz w:val="52"/>
          <w:szCs w:val="52"/>
          <w:highlight w:val="none"/>
          <w:lang w:val="en-US" w:eastAsia="zh-CN"/>
        </w:rPr>
        <w:t>5包段</w:t>
      </w:r>
    </w:p>
    <w:p w14:paraId="7478BE3D">
      <w:pPr>
        <w:rPr>
          <w:rFonts w:hint="eastAsia" w:ascii="仿宋" w:hAnsi="仿宋" w:eastAsia="仿宋" w:cs="仿宋"/>
          <w:highlight w:val="none"/>
          <w:lang w:val="en-US" w:eastAsia="zh-CN"/>
        </w:rPr>
      </w:pPr>
    </w:p>
    <w:p w14:paraId="38CD0D28">
      <w:pPr>
        <w:rPr>
          <w:rFonts w:hint="eastAsia" w:ascii="仿宋" w:hAnsi="仿宋" w:eastAsia="仿宋" w:cs="仿宋"/>
          <w:highlight w:val="none"/>
          <w:lang w:val="en-US" w:eastAsia="zh-CN"/>
        </w:rPr>
      </w:pPr>
    </w:p>
    <w:p w14:paraId="4B8E0517">
      <w:pPr>
        <w:pStyle w:val="3"/>
        <w:rPr>
          <w:rFonts w:hint="eastAsia" w:ascii="仿宋" w:hAnsi="仿宋" w:eastAsia="仿宋" w:cs="仿宋"/>
          <w:highlight w:val="none"/>
          <w:lang w:val="en-US" w:eastAsia="zh-CN"/>
        </w:rPr>
      </w:pPr>
    </w:p>
    <w:p w14:paraId="59B0E6FF">
      <w:pPr>
        <w:pStyle w:val="3"/>
        <w:rPr>
          <w:rFonts w:hint="eastAsia" w:ascii="仿宋" w:hAnsi="仿宋" w:eastAsia="仿宋" w:cs="仿宋"/>
          <w:highlight w:val="none"/>
          <w:lang w:val="en-US" w:eastAsia="zh-CN"/>
        </w:rPr>
      </w:pPr>
    </w:p>
    <w:p w14:paraId="202BC640">
      <w:pPr>
        <w:rPr>
          <w:rFonts w:hint="eastAsia" w:ascii="仿宋" w:hAnsi="仿宋" w:eastAsia="仿宋" w:cs="仿宋"/>
          <w:highlight w:val="none"/>
          <w:lang w:val="en-US" w:eastAsia="zh-CN"/>
        </w:rPr>
      </w:pPr>
    </w:p>
    <w:p w14:paraId="02F73F23">
      <w:pPr>
        <w:rPr>
          <w:rFonts w:hint="eastAsia" w:ascii="仿宋" w:hAnsi="仿宋" w:eastAsia="仿宋" w:cs="仿宋"/>
          <w:highlight w:val="none"/>
          <w:lang w:val="en-US" w:eastAsia="zh-CN"/>
        </w:rPr>
      </w:pPr>
    </w:p>
    <w:p w14:paraId="223449C9">
      <w:pPr>
        <w:rPr>
          <w:rFonts w:hint="eastAsia" w:ascii="仿宋" w:hAnsi="仿宋" w:eastAsia="仿宋" w:cs="仿宋"/>
          <w:highlight w:val="none"/>
          <w:lang w:val="en-US" w:eastAsia="zh-CN"/>
        </w:rPr>
      </w:pPr>
    </w:p>
    <w:p w14:paraId="5A93EF21">
      <w:pPr>
        <w:rPr>
          <w:rFonts w:hint="eastAsia" w:ascii="仿宋" w:hAnsi="仿宋" w:eastAsia="仿宋" w:cs="仿宋"/>
          <w:highlight w:val="none"/>
          <w:lang w:val="en-US" w:eastAsia="zh-CN"/>
        </w:rPr>
      </w:pPr>
    </w:p>
    <w:p w14:paraId="006B7460">
      <w:pPr>
        <w:rPr>
          <w:rFonts w:hint="eastAsia" w:ascii="仿宋" w:hAnsi="仿宋" w:eastAsia="仿宋" w:cs="仿宋"/>
          <w:highlight w:val="none"/>
          <w:lang w:val="en-US" w:eastAsia="zh-CN"/>
        </w:rPr>
      </w:pPr>
    </w:p>
    <w:p w14:paraId="3C479851">
      <w:pPr>
        <w:pStyle w:val="3"/>
        <w:rPr>
          <w:rFonts w:hint="eastAsia" w:ascii="仿宋" w:hAnsi="仿宋" w:eastAsia="仿宋" w:cs="仿宋"/>
          <w:highlight w:val="none"/>
          <w:lang w:val="en-US" w:eastAsia="zh-CN"/>
        </w:rPr>
      </w:pPr>
    </w:p>
    <w:p w14:paraId="59851B4D">
      <w:pPr>
        <w:spacing w:line="360" w:lineRule="auto"/>
        <w:ind w:firstLine="1440" w:firstLineChars="400"/>
        <w:rPr>
          <w:rFonts w:hint="eastAsia" w:ascii="仿宋" w:hAnsi="仿宋" w:eastAsia="仿宋" w:cs="仿宋"/>
          <w:sz w:val="36"/>
          <w:szCs w:val="36"/>
          <w:highlight w:val="none"/>
        </w:rPr>
      </w:pPr>
      <w:r>
        <w:rPr>
          <w:rFonts w:hint="eastAsia" w:ascii="仿宋" w:hAnsi="仿宋" w:eastAsia="仿宋" w:cs="仿宋"/>
          <w:sz w:val="36"/>
          <w:szCs w:val="36"/>
          <w:highlight w:val="none"/>
        </w:rPr>
        <w:t>甲方</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 xml:space="preserve">          </w:t>
      </w:r>
      <w:r>
        <w:rPr>
          <w:rFonts w:hint="eastAsia" w:ascii="仿宋" w:hAnsi="仿宋" w:eastAsia="仿宋" w:cs="仿宋"/>
          <w:sz w:val="36"/>
          <w:szCs w:val="36"/>
          <w:highlight w:val="none"/>
        </w:rPr>
        <w:t xml:space="preserve">                                        </w:t>
      </w:r>
    </w:p>
    <w:p w14:paraId="78C52BB9">
      <w:pPr>
        <w:spacing w:line="360" w:lineRule="auto"/>
        <w:ind w:firstLine="1440" w:firstLineChars="4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rPr>
        <w:t>乙方</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 xml:space="preserve">  </w:t>
      </w:r>
    </w:p>
    <w:p w14:paraId="2E83DF65">
      <w:pPr>
        <w:spacing w:line="360" w:lineRule="auto"/>
        <w:ind w:firstLine="2880" w:firstLineChars="8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年    月    日</w:t>
      </w:r>
    </w:p>
    <w:p w14:paraId="2500BBE5">
      <w:pPr>
        <w:spacing w:line="360" w:lineRule="auto"/>
        <w:ind w:firstLine="1040" w:firstLineChars="800"/>
        <w:rPr>
          <w:rFonts w:hint="eastAsia" w:ascii="仿宋" w:hAnsi="仿宋" w:eastAsia="仿宋" w:cs="仿宋"/>
          <w:sz w:val="13"/>
          <w:szCs w:val="13"/>
          <w:highlight w:val="none"/>
          <w:lang w:val="en-US" w:eastAsia="zh-CN"/>
        </w:rPr>
      </w:pPr>
    </w:p>
    <w:p w14:paraId="200175A5">
      <w:pPr>
        <w:spacing w:line="360" w:lineRule="auto"/>
        <w:ind w:firstLine="480" w:firstLineChars="20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甲方：（以下简称甲方）</w:t>
      </w:r>
    </w:p>
    <w:p w14:paraId="0071F096">
      <w:pPr>
        <w:spacing w:line="360" w:lineRule="auto"/>
        <w:ind w:firstLine="480" w:firstLineChars="20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乙方：（以下简称乙方）</w:t>
      </w:r>
    </w:p>
    <w:p w14:paraId="675CD65A">
      <w:pPr>
        <w:spacing w:line="360" w:lineRule="auto"/>
        <w:ind w:firstLine="480" w:firstLineChars="200"/>
        <w:rPr>
          <w:rFonts w:hint="eastAsia" w:ascii="仿宋" w:hAnsi="仿宋" w:eastAsia="仿宋" w:cs="仿宋"/>
          <w:b w:val="0"/>
          <w:bCs/>
          <w:sz w:val="24"/>
          <w:szCs w:val="24"/>
          <w:highlight w:val="none"/>
          <w:u w:val="single"/>
        </w:rPr>
      </w:pPr>
      <w:r>
        <w:rPr>
          <w:rFonts w:hint="eastAsia" w:ascii="仿宋" w:hAnsi="仿宋" w:eastAsia="仿宋" w:cs="仿宋"/>
          <w:b w:val="0"/>
          <w:bCs/>
          <w:sz w:val="24"/>
          <w:szCs w:val="24"/>
          <w:highlight w:val="none"/>
        </w:rPr>
        <w:t>根据《中华人民共和国政府采购法》及实施条例、《中华人民共和国民法典》和</w:t>
      </w:r>
      <w:r>
        <w:rPr>
          <w:rFonts w:hint="eastAsia" w:ascii="仿宋" w:hAnsi="仿宋" w:eastAsia="仿宋" w:cs="仿宋"/>
          <w:b w:val="0"/>
          <w:bCs/>
          <w:sz w:val="24"/>
          <w:szCs w:val="24"/>
          <w:highlight w:val="none"/>
          <w:lang w:eastAsia="zh-CN"/>
        </w:rPr>
        <w:t>（</w:t>
      </w:r>
      <w:r>
        <w:rPr>
          <w:rFonts w:hint="eastAsia" w:ascii="仿宋" w:hAnsi="仿宋" w:eastAsia="仿宋" w:cs="仿宋"/>
          <w:b w:val="0"/>
          <w:bCs/>
          <w:sz w:val="24"/>
          <w:szCs w:val="24"/>
          <w:highlight w:val="none"/>
          <w:u w:val="single"/>
        </w:rPr>
        <w:t>项</w:t>
      </w:r>
    </w:p>
    <w:p w14:paraId="20A8E95B">
      <w:pPr>
        <w:spacing w:line="360" w:lineRule="auto"/>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u w:val="single"/>
        </w:rPr>
        <w:t>目名称</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u w:val="single"/>
        </w:rPr>
        <w:t>、项目编号</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u w:val="single"/>
        </w:rPr>
        <w:t>、</w:t>
      </w:r>
      <w:r>
        <w:rPr>
          <w:rFonts w:hint="eastAsia" w:ascii="仿宋" w:hAnsi="仿宋" w:eastAsia="仿宋" w:cs="仿宋"/>
          <w:b w:val="0"/>
          <w:bCs/>
          <w:sz w:val="24"/>
          <w:szCs w:val="24"/>
          <w:highlight w:val="none"/>
          <w:u w:val="single"/>
          <w:lang w:eastAsia="zh-CN"/>
        </w:rPr>
        <w:t>包段号</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rPr>
        <w:t>招标文件，为保证甲方采购项目的顺利实施，甲、乙双方同意签订本合同，并共同遵守如下条款：</w:t>
      </w:r>
    </w:p>
    <w:p w14:paraId="3C8E8AE6">
      <w:pPr>
        <w:numPr>
          <w:ilvl w:val="0"/>
          <w:numId w:val="0"/>
        </w:numPr>
        <w:spacing w:line="360" w:lineRule="auto"/>
        <w:ind w:firstLine="482" w:firstLineChars="200"/>
        <w:rPr>
          <w:rFonts w:hint="eastAsia" w:ascii="仿宋" w:hAnsi="仿宋" w:eastAsia="仿宋" w:cs="仿宋"/>
          <w:b/>
          <w:bCs w:val="0"/>
          <w:highlight w:val="none"/>
        </w:rPr>
      </w:pPr>
      <w:r>
        <w:rPr>
          <w:rFonts w:hint="eastAsia" w:ascii="仿宋" w:hAnsi="仿宋" w:eastAsia="仿宋" w:cs="仿宋"/>
          <w:b/>
          <w:bCs w:val="0"/>
          <w:sz w:val="24"/>
          <w:szCs w:val="24"/>
          <w:highlight w:val="none"/>
          <w:lang w:val="en-US" w:eastAsia="zh-CN"/>
        </w:rPr>
        <w:t>一、</w:t>
      </w:r>
      <w:r>
        <w:rPr>
          <w:rFonts w:hint="eastAsia" w:ascii="仿宋" w:hAnsi="仿宋" w:eastAsia="仿宋" w:cs="仿宋"/>
          <w:b/>
          <w:bCs w:val="0"/>
          <w:sz w:val="24"/>
          <w:szCs w:val="24"/>
          <w:highlight w:val="none"/>
        </w:rPr>
        <w:t>产品名称、品种、规格、及价格</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540"/>
        <w:gridCol w:w="1540"/>
        <w:gridCol w:w="1540"/>
        <w:gridCol w:w="1540"/>
        <w:gridCol w:w="1540"/>
      </w:tblGrid>
      <w:tr w14:paraId="6077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540" w:type="dxa"/>
            <w:noWrap w:val="0"/>
            <w:vAlign w:val="center"/>
          </w:tcPr>
          <w:p w14:paraId="151B58CB">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产品</w:t>
            </w:r>
          </w:p>
        </w:tc>
        <w:tc>
          <w:tcPr>
            <w:tcW w:w="1540" w:type="dxa"/>
            <w:noWrap w:val="0"/>
            <w:vAlign w:val="center"/>
          </w:tcPr>
          <w:p w14:paraId="49AC73B9">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标准要求</w:t>
            </w:r>
          </w:p>
        </w:tc>
        <w:tc>
          <w:tcPr>
            <w:tcW w:w="1540" w:type="dxa"/>
            <w:noWrap w:val="0"/>
            <w:vAlign w:val="center"/>
          </w:tcPr>
          <w:p w14:paraId="206848C2">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品牌</w:t>
            </w:r>
          </w:p>
        </w:tc>
        <w:tc>
          <w:tcPr>
            <w:tcW w:w="1540" w:type="dxa"/>
            <w:noWrap w:val="0"/>
            <w:vAlign w:val="center"/>
          </w:tcPr>
          <w:p w14:paraId="0092A992">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产品标识</w:t>
            </w:r>
          </w:p>
        </w:tc>
        <w:tc>
          <w:tcPr>
            <w:tcW w:w="1540" w:type="dxa"/>
            <w:noWrap w:val="0"/>
            <w:vAlign w:val="center"/>
          </w:tcPr>
          <w:p w14:paraId="6CEB9F08">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规格</w:t>
            </w:r>
          </w:p>
        </w:tc>
        <w:tc>
          <w:tcPr>
            <w:tcW w:w="1540" w:type="dxa"/>
            <w:noWrap w:val="0"/>
            <w:vAlign w:val="center"/>
          </w:tcPr>
          <w:p w14:paraId="52916140">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保质期</w:t>
            </w:r>
          </w:p>
        </w:tc>
      </w:tr>
      <w:tr w14:paraId="71339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540" w:type="dxa"/>
            <w:vMerge w:val="restart"/>
            <w:noWrap w:val="0"/>
            <w:vAlign w:val="center"/>
          </w:tcPr>
          <w:p w14:paraId="0A0B84D6">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热早餐</w:t>
            </w:r>
          </w:p>
        </w:tc>
        <w:tc>
          <w:tcPr>
            <w:tcW w:w="1540" w:type="dxa"/>
            <w:noWrap w:val="0"/>
            <w:vAlign w:val="center"/>
          </w:tcPr>
          <w:p w14:paraId="11060E87">
            <w:pPr>
              <w:pStyle w:val="3"/>
              <w:jc w:val="center"/>
              <w:rPr>
                <w:rFonts w:hint="eastAsia" w:ascii="仿宋" w:hAnsi="仿宋" w:eastAsia="仿宋" w:cs="仿宋"/>
                <w:highlight w:val="none"/>
                <w:vertAlign w:val="baseline"/>
              </w:rPr>
            </w:pPr>
          </w:p>
        </w:tc>
        <w:tc>
          <w:tcPr>
            <w:tcW w:w="1540" w:type="dxa"/>
            <w:noWrap w:val="0"/>
            <w:vAlign w:val="center"/>
          </w:tcPr>
          <w:p w14:paraId="1773713A">
            <w:pPr>
              <w:pStyle w:val="3"/>
              <w:jc w:val="center"/>
              <w:rPr>
                <w:rFonts w:hint="eastAsia" w:ascii="仿宋" w:hAnsi="仿宋" w:eastAsia="仿宋" w:cs="仿宋"/>
                <w:highlight w:val="none"/>
                <w:vertAlign w:val="baseline"/>
              </w:rPr>
            </w:pPr>
          </w:p>
        </w:tc>
        <w:tc>
          <w:tcPr>
            <w:tcW w:w="1540" w:type="dxa"/>
            <w:noWrap w:val="0"/>
            <w:vAlign w:val="center"/>
          </w:tcPr>
          <w:p w14:paraId="58ADFF95">
            <w:pPr>
              <w:pStyle w:val="3"/>
              <w:jc w:val="center"/>
              <w:rPr>
                <w:rFonts w:hint="eastAsia" w:ascii="仿宋" w:hAnsi="仿宋" w:eastAsia="仿宋" w:cs="仿宋"/>
                <w:highlight w:val="none"/>
                <w:vertAlign w:val="baseline"/>
              </w:rPr>
            </w:pPr>
          </w:p>
        </w:tc>
        <w:tc>
          <w:tcPr>
            <w:tcW w:w="1540" w:type="dxa"/>
            <w:noWrap w:val="0"/>
            <w:vAlign w:val="center"/>
          </w:tcPr>
          <w:p w14:paraId="365A9519">
            <w:pPr>
              <w:pStyle w:val="3"/>
              <w:jc w:val="center"/>
              <w:rPr>
                <w:rFonts w:hint="eastAsia" w:ascii="仿宋" w:hAnsi="仿宋" w:eastAsia="仿宋" w:cs="仿宋"/>
                <w:highlight w:val="none"/>
                <w:vertAlign w:val="baseline"/>
              </w:rPr>
            </w:pPr>
          </w:p>
        </w:tc>
        <w:tc>
          <w:tcPr>
            <w:tcW w:w="1540" w:type="dxa"/>
            <w:noWrap w:val="0"/>
            <w:vAlign w:val="center"/>
          </w:tcPr>
          <w:p w14:paraId="541D9137">
            <w:pPr>
              <w:pStyle w:val="3"/>
              <w:jc w:val="center"/>
              <w:rPr>
                <w:rFonts w:hint="eastAsia" w:ascii="仿宋" w:hAnsi="仿宋" w:eastAsia="仿宋" w:cs="仿宋"/>
                <w:highlight w:val="none"/>
                <w:vertAlign w:val="baseline"/>
              </w:rPr>
            </w:pPr>
          </w:p>
        </w:tc>
      </w:tr>
      <w:tr w14:paraId="6D04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40" w:type="dxa"/>
            <w:vMerge w:val="continue"/>
            <w:noWrap w:val="0"/>
            <w:vAlign w:val="center"/>
          </w:tcPr>
          <w:p w14:paraId="7D7AC5C5">
            <w:pPr>
              <w:pStyle w:val="3"/>
              <w:jc w:val="center"/>
              <w:rPr>
                <w:rFonts w:hint="eastAsia" w:ascii="仿宋" w:hAnsi="仿宋" w:eastAsia="仿宋" w:cs="仿宋"/>
                <w:highlight w:val="none"/>
                <w:vertAlign w:val="baseline"/>
                <w:lang w:val="en-US" w:eastAsia="zh-CN"/>
              </w:rPr>
            </w:pPr>
          </w:p>
        </w:tc>
        <w:tc>
          <w:tcPr>
            <w:tcW w:w="1540" w:type="dxa"/>
            <w:noWrap w:val="0"/>
            <w:vAlign w:val="center"/>
          </w:tcPr>
          <w:p w14:paraId="7BE749BE">
            <w:pPr>
              <w:pStyle w:val="3"/>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w:t>
            </w:r>
          </w:p>
        </w:tc>
        <w:tc>
          <w:tcPr>
            <w:tcW w:w="1540" w:type="dxa"/>
            <w:noWrap w:val="0"/>
            <w:vAlign w:val="center"/>
          </w:tcPr>
          <w:p w14:paraId="0DBA3B88">
            <w:pPr>
              <w:pStyle w:val="3"/>
              <w:jc w:val="center"/>
              <w:rPr>
                <w:rFonts w:hint="eastAsia" w:ascii="仿宋" w:hAnsi="仿宋" w:eastAsia="仿宋" w:cs="仿宋"/>
                <w:highlight w:val="none"/>
                <w:vertAlign w:val="baseline"/>
              </w:rPr>
            </w:pPr>
          </w:p>
        </w:tc>
        <w:tc>
          <w:tcPr>
            <w:tcW w:w="1540" w:type="dxa"/>
            <w:noWrap w:val="0"/>
            <w:vAlign w:val="center"/>
          </w:tcPr>
          <w:p w14:paraId="7EF399AA">
            <w:pPr>
              <w:pStyle w:val="3"/>
              <w:jc w:val="center"/>
              <w:rPr>
                <w:rFonts w:hint="eastAsia" w:ascii="仿宋" w:hAnsi="仿宋" w:eastAsia="仿宋" w:cs="仿宋"/>
                <w:highlight w:val="none"/>
                <w:vertAlign w:val="baseline"/>
              </w:rPr>
            </w:pPr>
          </w:p>
        </w:tc>
        <w:tc>
          <w:tcPr>
            <w:tcW w:w="1540" w:type="dxa"/>
            <w:noWrap w:val="0"/>
            <w:vAlign w:val="center"/>
          </w:tcPr>
          <w:p w14:paraId="05E600A3">
            <w:pPr>
              <w:pStyle w:val="3"/>
              <w:jc w:val="center"/>
              <w:rPr>
                <w:rFonts w:hint="eastAsia" w:ascii="仿宋" w:hAnsi="仿宋" w:eastAsia="仿宋" w:cs="仿宋"/>
                <w:highlight w:val="none"/>
                <w:vertAlign w:val="baseline"/>
              </w:rPr>
            </w:pPr>
          </w:p>
        </w:tc>
        <w:tc>
          <w:tcPr>
            <w:tcW w:w="1540" w:type="dxa"/>
            <w:noWrap w:val="0"/>
            <w:vAlign w:val="center"/>
          </w:tcPr>
          <w:p w14:paraId="0001E85E">
            <w:pPr>
              <w:pStyle w:val="3"/>
              <w:jc w:val="center"/>
              <w:rPr>
                <w:rFonts w:hint="eastAsia" w:ascii="仿宋" w:hAnsi="仿宋" w:eastAsia="仿宋" w:cs="仿宋"/>
                <w:highlight w:val="none"/>
                <w:vertAlign w:val="baseline"/>
              </w:rPr>
            </w:pPr>
          </w:p>
        </w:tc>
      </w:tr>
    </w:tbl>
    <w:p w14:paraId="66773C4F">
      <w:pPr>
        <w:pStyle w:val="3"/>
        <w:keepNext w:val="0"/>
        <w:keepLines w:val="0"/>
        <w:pageBreakBefore w:val="0"/>
        <w:kinsoku/>
        <w:wordWrap/>
        <w:overflowPunct/>
        <w:topLinePunct w:val="0"/>
        <w:autoSpaceDE/>
        <w:autoSpaceDN/>
        <w:bidi w:val="0"/>
        <w:adjustRightInd/>
        <w:snapToGrid/>
        <w:spacing w:after="0" w:afterLines="0"/>
        <w:ind w:firstLine="480" w:firstLineChars="200"/>
        <w:textAlignment w:val="auto"/>
        <w:rPr>
          <w:rFonts w:hint="eastAsia" w:ascii="仿宋" w:hAnsi="仿宋" w:eastAsia="仿宋" w:cs="仿宋"/>
          <w:highlight w:val="none"/>
          <w:u w:val="none"/>
          <w:lang w:val="en-US" w:eastAsia="zh-CN"/>
        </w:rPr>
      </w:pPr>
      <w:r>
        <w:rPr>
          <w:rFonts w:hint="eastAsia" w:ascii="仿宋" w:hAnsi="仿宋" w:eastAsia="仿宋" w:cs="仿宋"/>
          <w:highlight w:val="none"/>
        </w:rPr>
        <w:t>（</w:t>
      </w:r>
      <w:r>
        <w:rPr>
          <w:rFonts w:hint="eastAsia" w:ascii="仿宋" w:hAnsi="仿宋" w:eastAsia="仿宋" w:cs="仿宋"/>
          <w:highlight w:val="none"/>
          <w:lang w:val="en-US" w:eastAsia="zh-CN"/>
        </w:rPr>
        <w:t>热早餐</w:t>
      </w:r>
      <w:r>
        <w:rPr>
          <w:rFonts w:hint="eastAsia" w:ascii="仿宋" w:hAnsi="仿宋" w:eastAsia="仿宋" w:cs="仿宋"/>
          <w:highlight w:val="none"/>
        </w:rPr>
        <w:t xml:space="preserve">）固定综合单价= </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元/</w:t>
      </w:r>
      <w:r>
        <w:rPr>
          <w:rFonts w:hint="eastAsia" w:ascii="仿宋" w:hAnsi="仿宋" w:eastAsia="仿宋" w:cs="仿宋"/>
          <w:highlight w:val="none"/>
          <w:lang w:val="en-US" w:eastAsia="zh-CN"/>
        </w:rPr>
        <w:t>份。</w:t>
      </w:r>
    </w:p>
    <w:p w14:paraId="4E2A858B">
      <w:pPr>
        <w:pStyle w:val="3"/>
        <w:keepNext w:val="0"/>
        <w:keepLines w:val="0"/>
        <w:pageBreakBefore w:val="0"/>
        <w:kinsoku/>
        <w:wordWrap/>
        <w:overflowPunct/>
        <w:topLinePunct w:val="0"/>
        <w:autoSpaceDE/>
        <w:autoSpaceDN/>
        <w:bidi w:val="0"/>
        <w:adjustRightInd/>
        <w:snapToGrid/>
        <w:spacing w:after="0" w:afterLines="0"/>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合同总金额=以上产品的固定综合单价*实际供货量。</w:t>
      </w:r>
    </w:p>
    <w:p w14:paraId="12BAF701">
      <w:pPr>
        <w:pStyle w:val="3"/>
        <w:keepNext w:val="0"/>
        <w:keepLines w:val="0"/>
        <w:pageBreakBefore w:val="0"/>
        <w:kinsoku/>
        <w:wordWrap/>
        <w:overflowPunct/>
        <w:topLinePunct w:val="0"/>
        <w:autoSpaceDE/>
        <w:autoSpaceDN/>
        <w:bidi w:val="0"/>
        <w:adjustRightInd/>
        <w:snapToGrid/>
        <w:spacing w:after="0" w:afterLines="0"/>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rPr>
        <w:t>二、供货时间</w:t>
      </w:r>
      <w:r>
        <w:rPr>
          <w:rFonts w:hint="eastAsia" w:ascii="仿宋" w:hAnsi="仿宋" w:eastAsia="仿宋" w:cs="仿宋"/>
          <w:b/>
          <w:bCs/>
          <w:highlight w:val="none"/>
          <w:lang w:eastAsia="zh-CN"/>
        </w:rPr>
        <w:t>、</w:t>
      </w:r>
      <w:r>
        <w:rPr>
          <w:rFonts w:hint="eastAsia" w:ascii="仿宋" w:hAnsi="仿宋" w:eastAsia="仿宋" w:cs="仿宋"/>
          <w:b/>
          <w:bCs/>
          <w:highlight w:val="none"/>
        </w:rPr>
        <w:t>配送周期</w:t>
      </w:r>
      <w:r>
        <w:rPr>
          <w:rFonts w:hint="eastAsia" w:ascii="仿宋" w:hAnsi="仿宋" w:eastAsia="仿宋" w:cs="仿宋"/>
          <w:b/>
          <w:bCs/>
          <w:highlight w:val="none"/>
          <w:lang w:val="en-US" w:eastAsia="zh-CN"/>
        </w:rPr>
        <w:t>及配送区域</w:t>
      </w:r>
    </w:p>
    <w:p w14:paraId="0BF63F07">
      <w:pPr>
        <w:pStyle w:val="3"/>
        <w:keepNext w:val="0"/>
        <w:keepLines w:val="0"/>
        <w:pageBreakBefore w:val="0"/>
        <w:kinsoku/>
        <w:wordWrap/>
        <w:overflowPunct/>
        <w:topLinePunct w:val="0"/>
        <w:autoSpaceDE/>
        <w:autoSpaceDN/>
        <w:bidi w:val="0"/>
        <w:adjustRightInd/>
        <w:snapToGrid/>
        <w:spacing w:after="0" w:afterLines="0"/>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1、供货时间：</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月—202</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年1月期间教学日</w:t>
      </w:r>
    </w:p>
    <w:p w14:paraId="5DD14306">
      <w:pPr>
        <w:pStyle w:val="3"/>
        <w:keepNext w:val="0"/>
        <w:keepLines w:val="0"/>
        <w:pageBreakBefore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highlight w:val="none"/>
        </w:rPr>
        <w:t>2、配送周期：</w:t>
      </w:r>
      <w:r>
        <w:rPr>
          <w:rFonts w:hint="eastAsia" w:ascii="仿宋" w:hAnsi="仿宋" w:eastAsia="仿宋" w:cs="仿宋"/>
          <w:sz w:val="24"/>
          <w:szCs w:val="24"/>
          <w:highlight w:val="none"/>
        </w:rPr>
        <w:t>热早餐按采购人要求时间每天配送一次。配送车辆定期检修、消毒，必须符合食品安全要求。</w:t>
      </w:r>
    </w:p>
    <w:p w14:paraId="5EDE5276">
      <w:pPr>
        <w:ind w:firstLine="480" w:firstLineChars="200"/>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3、配送区域学校名称</w:t>
      </w:r>
    </w:p>
    <w:tbl>
      <w:tblPr>
        <w:tblStyle w:val="4"/>
        <w:tblW w:w="90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30"/>
        <w:gridCol w:w="7029"/>
      </w:tblGrid>
      <w:tr w14:paraId="3326E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2030" w:type="dxa"/>
            <w:tcBorders>
              <w:top w:val="single" w:color="000000" w:sz="4" w:space="0"/>
              <w:left w:val="single" w:color="000000" w:sz="4" w:space="0"/>
              <w:bottom w:val="single" w:color="000000" w:sz="4" w:space="0"/>
              <w:right w:val="single" w:color="000000" w:sz="4" w:space="0"/>
            </w:tcBorders>
            <w:noWrap w:val="0"/>
            <w:vAlign w:val="center"/>
          </w:tcPr>
          <w:p w14:paraId="70DD785A">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7029" w:type="dxa"/>
            <w:tcBorders>
              <w:top w:val="single" w:color="000000" w:sz="4" w:space="0"/>
              <w:left w:val="single" w:color="000000" w:sz="4" w:space="0"/>
              <w:bottom w:val="single" w:color="000000" w:sz="4" w:space="0"/>
              <w:right w:val="single" w:color="000000" w:sz="4" w:space="0"/>
            </w:tcBorders>
            <w:noWrap w:val="0"/>
            <w:vAlign w:val="center"/>
          </w:tcPr>
          <w:p w14:paraId="62E419A4">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学校名称</w:t>
            </w:r>
          </w:p>
        </w:tc>
      </w:tr>
      <w:tr w14:paraId="2492F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2030" w:type="dxa"/>
            <w:tcBorders>
              <w:top w:val="single" w:color="000000" w:sz="4" w:space="0"/>
              <w:left w:val="single" w:color="000000" w:sz="4" w:space="0"/>
              <w:bottom w:val="single" w:color="000000" w:sz="4" w:space="0"/>
              <w:right w:val="single" w:color="000000" w:sz="4" w:space="0"/>
            </w:tcBorders>
            <w:noWrap/>
            <w:vAlign w:val="center"/>
          </w:tcPr>
          <w:p w14:paraId="762761CC">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w:t>
            </w:r>
          </w:p>
        </w:tc>
        <w:tc>
          <w:tcPr>
            <w:tcW w:w="7029" w:type="dxa"/>
            <w:tcBorders>
              <w:top w:val="single" w:color="000000" w:sz="4" w:space="0"/>
              <w:left w:val="single" w:color="000000" w:sz="4" w:space="0"/>
              <w:bottom w:val="single" w:color="000000" w:sz="4" w:space="0"/>
              <w:right w:val="single" w:color="000000" w:sz="4" w:space="0"/>
            </w:tcBorders>
            <w:noWrap/>
            <w:vAlign w:val="center"/>
          </w:tcPr>
          <w:p w14:paraId="4B080D9C">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惠安小学</w:t>
            </w:r>
          </w:p>
        </w:tc>
      </w:tr>
      <w:tr w14:paraId="06C73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2030" w:type="dxa"/>
            <w:tcBorders>
              <w:top w:val="single" w:color="000000" w:sz="4" w:space="0"/>
              <w:left w:val="single" w:color="000000" w:sz="4" w:space="0"/>
              <w:bottom w:val="single" w:color="000000" w:sz="4" w:space="0"/>
              <w:right w:val="single" w:color="000000" w:sz="4" w:space="0"/>
            </w:tcBorders>
            <w:noWrap/>
            <w:vAlign w:val="center"/>
          </w:tcPr>
          <w:p w14:paraId="63435698">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2</w:t>
            </w:r>
          </w:p>
        </w:tc>
        <w:tc>
          <w:tcPr>
            <w:tcW w:w="7029" w:type="dxa"/>
            <w:tcBorders>
              <w:top w:val="single" w:color="000000" w:sz="4" w:space="0"/>
              <w:left w:val="single" w:color="000000" w:sz="4" w:space="0"/>
              <w:bottom w:val="single" w:color="000000" w:sz="4" w:space="0"/>
              <w:right w:val="single" w:color="000000" w:sz="4" w:space="0"/>
            </w:tcBorders>
            <w:noWrap/>
            <w:vAlign w:val="center"/>
          </w:tcPr>
          <w:p w14:paraId="6466F82E">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电厂小学</w:t>
            </w:r>
          </w:p>
        </w:tc>
      </w:tr>
      <w:tr w14:paraId="28AD9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2030" w:type="dxa"/>
            <w:tcBorders>
              <w:top w:val="single" w:color="000000" w:sz="4" w:space="0"/>
              <w:left w:val="single" w:color="000000" w:sz="4" w:space="0"/>
              <w:bottom w:val="single" w:color="000000" w:sz="4" w:space="0"/>
              <w:right w:val="single" w:color="000000" w:sz="4" w:space="0"/>
            </w:tcBorders>
            <w:noWrap/>
            <w:vAlign w:val="center"/>
          </w:tcPr>
          <w:p w14:paraId="1374AA38">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3</w:t>
            </w:r>
          </w:p>
        </w:tc>
        <w:tc>
          <w:tcPr>
            <w:tcW w:w="7029" w:type="dxa"/>
            <w:tcBorders>
              <w:top w:val="single" w:color="000000" w:sz="4" w:space="0"/>
              <w:left w:val="single" w:color="000000" w:sz="4" w:space="0"/>
              <w:bottom w:val="single" w:color="000000" w:sz="4" w:space="0"/>
              <w:right w:val="single" w:color="000000" w:sz="4" w:space="0"/>
            </w:tcBorders>
            <w:noWrap/>
            <w:vAlign w:val="center"/>
          </w:tcPr>
          <w:p w14:paraId="14A78EDA">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光明小学</w:t>
            </w:r>
          </w:p>
        </w:tc>
      </w:tr>
    </w:tbl>
    <w:p w14:paraId="137251B6">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三、营养早餐供货内容及配送周期</w:t>
      </w:r>
    </w:p>
    <w:p w14:paraId="26E9CD6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乙方参照但不局限于以下标准，</w:t>
      </w:r>
      <w:r>
        <w:rPr>
          <w:rFonts w:hint="eastAsia" w:ascii="仿宋" w:hAnsi="仿宋" w:eastAsia="仿宋" w:cs="仿宋"/>
          <w:sz w:val="24"/>
          <w:szCs w:val="24"/>
          <w:highlight w:val="none"/>
        </w:rPr>
        <w:t>随季节适时调整营养早餐食谱。</w:t>
      </w:r>
    </w:p>
    <w:p w14:paraId="1CB1750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流食：牛奶（酸奶）每周搭配2次；粥类每周搭配不超过2次，每次不重样</w:t>
      </w:r>
      <w:r>
        <w:rPr>
          <w:rFonts w:hint="eastAsia" w:ascii="仿宋" w:hAnsi="仿宋" w:eastAsia="仿宋" w:cs="仿宋"/>
          <w:sz w:val="24"/>
          <w:szCs w:val="24"/>
          <w:highlight w:val="none"/>
          <w:lang w:val="en-US" w:eastAsia="zh-CN"/>
        </w:rPr>
        <w:t>；油茶或其他</w:t>
      </w:r>
      <w:r>
        <w:rPr>
          <w:rFonts w:hint="eastAsia" w:ascii="仿宋" w:hAnsi="仿宋" w:eastAsia="仿宋" w:cs="仿宋"/>
          <w:sz w:val="24"/>
          <w:szCs w:val="24"/>
          <w:highlight w:val="none"/>
        </w:rPr>
        <w:t>每周</w:t>
      </w:r>
      <w:r>
        <w:rPr>
          <w:rFonts w:hint="eastAsia" w:ascii="仿宋" w:hAnsi="仿宋" w:eastAsia="仿宋" w:cs="仿宋"/>
          <w:sz w:val="24"/>
          <w:szCs w:val="24"/>
          <w:highlight w:val="none"/>
          <w:lang w:val="en-US" w:eastAsia="zh-CN"/>
        </w:rPr>
        <w:t>不少于1</w:t>
      </w:r>
      <w:r>
        <w:rPr>
          <w:rFonts w:hint="eastAsia" w:ascii="仿宋" w:hAnsi="仿宋" w:eastAsia="仿宋" w:cs="仿宋"/>
          <w:sz w:val="24"/>
          <w:szCs w:val="24"/>
          <w:highlight w:val="none"/>
        </w:rPr>
        <w:t>次；主食：包子每周不超过两次，且</w:t>
      </w:r>
      <w:r>
        <w:rPr>
          <w:rFonts w:hint="eastAsia" w:ascii="仿宋" w:hAnsi="仿宋" w:eastAsia="仿宋" w:cs="仿宋"/>
          <w:sz w:val="24"/>
          <w:szCs w:val="24"/>
          <w:highlight w:val="none"/>
          <w:lang w:val="en-US" w:eastAsia="zh-CN"/>
        </w:rPr>
        <w:t>至少</w:t>
      </w:r>
      <w:r>
        <w:rPr>
          <w:rFonts w:hint="eastAsia" w:ascii="仿宋" w:hAnsi="仿宋" w:eastAsia="仿宋" w:cs="仿宋"/>
          <w:sz w:val="24"/>
          <w:szCs w:val="24"/>
          <w:highlight w:val="none"/>
        </w:rPr>
        <w:t>一次肉馅；荷叶饼、配菜每周</w:t>
      </w:r>
      <w:r>
        <w:rPr>
          <w:rFonts w:hint="eastAsia" w:ascii="仿宋" w:hAnsi="仿宋" w:eastAsia="仿宋" w:cs="仿宋"/>
          <w:sz w:val="24"/>
          <w:szCs w:val="24"/>
          <w:highlight w:val="none"/>
          <w:lang w:val="en-US" w:eastAsia="zh-CN"/>
        </w:rPr>
        <w:t>不少于</w:t>
      </w:r>
      <w:r>
        <w:rPr>
          <w:rFonts w:hint="eastAsia" w:ascii="仿宋" w:hAnsi="仿宋" w:eastAsia="仿宋" w:cs="仿宋"/>
          <w:sz w:val="24"/>
          <w:szCs w:val="24"/>
          <w:highlight w:val="none"/>
        </w:rPr>
        <w:t>1次；烘焙类糕点或经</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同意的符合国家食品安全要求的其他主食由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按照营养均衡的原则合理搭配。辅食：</w:t>
      </w:r>
      <w:r>
        <w:rPr>
          <w:rFonts w:hint="eastAsia" w:ascii="仿宋" w:hAnsi="仿宋" w:eastAsia="仿宋" w:cs="仿宋"/>
          <w:sz w:val="24"/>
          <w:szCs w:val="24"/>
          <w:highlight w:val="none"/>
          <w:lang w:val="en-US" w:eastAsia="zh-CN"/>
        </w:rPr>
        <w:t>鸡蛋每周不少于两次</w:t>
      </w:r>
      <w:r>
        <w:rPr>
          <w:rFonts w:hint="eastAsia" w:ascii="仿宋" w:hAnsi="仿宋" w:eastAsia="仿宋" w:cs="仿宋"/>
          <w:sz w:val="24"/>
          <w:szCs w:val="24"/>
          <w:highlight w:val="none"/>
        </w:rPr>
        <w:t>；水果根据季节变化每周搭配1-2次，坚果类每周</w:t>
      </w:r>
      <w:r>
        <w:rPr>
          <w:rFonts w:hint="eastAsia" w:ascii="仿宋" w:hAnsi="仿宋" w:eastAsia="仿宋" w:cs="仿宋"/>
          <w:sz w:val="24"/>
          <w:szCs w:val="24"/>
          <w:highlight w:val="none"/>
          <w:lang w:val="en-US" w:eastAsia="zh-CN"/>
        </w:rPr>
        <w:t>不少于</w:t>
      </w:r>
      <w:r>
        <w:rPr>
          <w:rFonts w:hint="eastAsia" w:ascii="仿宋" w:hAnsi="仿宋" w:eastAsia="仿宋" w:cs="仿宋"/>
          <w:sz w:val="24"/>
          <w:szCs w:val="24"/>
          <w:highlight w:val="none"/>
        </w:rPr>
        <w:t>搭配一次；其余1-2次由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按照营养均衡的原则合理搭配。</w:t>
      </w:r>
    </w:p>
    <w:p w14:paraId="6EDF562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、如因节假日导致当周教学日不足五天，以上搭配按比例酌情缩减（每天必须配送一份流食、一份主食和一份辅食）</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每周</w:t>
      </w:r>
      <w:r>
        <w:rPr>
          <w:rFonts w:hint="eastAsia" w:ascii="仿宋" w:hAnsi="仿宋" w:eastAsia="仿宋" w:cs="仿宋"/>
          <w:sz w:val="24"/>
          <w:szCs w:val="24"/>
          <w:highlight w:val="none"/>
        </w:rPr>
        <w:t>实际配送时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乙方提前制定食谱报甲方审定后发给配送学校。</w:t>
      </w:r>
    </w:p>
    <w:p w14:paraId="0F57DC85">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四、合同价及结算方式</w:t>
      </w:r>
    </w:p>
    <w:p w14:paraId="167FB7B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1、合同价为每生每天</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元/份,含加工配送等费用</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元。价格为一次性包死价，不受市场价格变化等因素的影响。合同总价以实际配送数量为准。</w:t>
      </w:r>
    </w:p>
    <w:p w14:paraId="25F6AF5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2.结算方式:</w:t>
      </w:r>
    </w:p>
    <w:p w14:paraId="63D0A1C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shd w:val="clear" w:color="auto" w:fill="auto"/>
          <w:lang w:eastAsia="zh-CN"/>
        </w:rPr>
        <w:t>（</w:t>
      </w:r>
      <w:r>
        <w:rPr>
          <w:rFonts w:hint="eastAsia" w:ascii="仿宋" w:hAnsi="仿宋" w:eastAsia="仿宋" w:cs="仿宋"/>
          <w:sz w:val="24"/>
          <w:szCs w:val="24"/>
          <w:highlight w:val="none"/>
          <w:shd w:val="clear" w:color="auto" w:fill="auto"/>
          <w:lang w:val="en-US" w:eastAsia="zh-CN"/>
        </w:rPr>
        <w:t>1</w:t>
      </w:r>
      <w:r>
        <w:rPr>
          <w:rFonts w:hint="eastAsia" w:ascii="仿宋" w:hAnsi="仿宋" w:eastAsia="仿宋" w:cs="仿宋"/>
          <w:sz w:val="24"/>
          <w:szCs w:val="24"/>
          <w:highlight w:val="none"/>
          <w:shd w:val="clear" w:color="auto" w:fill="auto"/>
          <w:lang w:eastAsia="zh-CN"/>
        </w:rPr>
        <w:t>）每学期开学一个月后，支付当学期货款总额的</w:t>
      </w:r>
      <w:r>
        <w:rPr>
          <w:rFonts w:hint="eastAsia" w:ascii="仿宋" w:hAnsi="仿宋" w:eastAsia="仿宋" w:cs="仿宋"/>
          <w:sz w:val="24"/>
          <w:szCs w:val="24"/>
          <w:highlight w:val="none"/>
          <w:shd w:val="clear" w:color="auto" w:fill="auto"/>
          <w:lang w:val="en-US" w:eastAsia="zh-CN"/>
        </w:rPr>
        <w:t>40%，学期结束据实结算剩余货款；</w:t>
      </w:r>
      <w:r>
        <w:rPr>
          <w:rFonts w:hint="eastAsia" w:ascii="仿宋" w:hAnsi="仿宋" w:eastAsia="仿宋" w:cs="仿宋"/>
          <w:sz w:val="24"/>
          <w:szCs w:val="24"/>
          <w:highlight w:val="none"/>
          <w:shd w:val="clear" w:color="auto" w:fill="auto"/>
          <w:lang w:eastAsia="zh-CN"/>
        </w:rPr>
        <w:t>热早餐加工、配送费每学期结束后一月内结算。</w:t>
      </w:r>
      <w:r>
        <w:rPr>
          <w:rFonts w:hint="eastAsia" w:ascii="仿宋" w:hAnsi="仿宋" w:eastAsia="仿宋" w:cs="仿宋"/>
          <w:sz w:val="24"/>
          <w:szCs w:val="24"/>
          <w:highlight w:val="none"/>
          <w:shd w:val="clear" w:color="auto" w:fill="auto"/>
        </w:rPr>
        <w:t>(除节假日、财务审计、财务预决算、银行支付系统升级等不可抗拒的因素)</w:t>
      </w:r>
    </w:p>
    <w:p w14:paraId="3BE5849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（2）供应商应于采购人每次付款前向采购人开具等额发票。因供应商迟延开票，采购人有权拒不付款且不承担任何责任。</w:t>
      </w:r>
    </w:p>
    <w:p w14:paraId="089E4C3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乙方账号信息：</w:t>
      </w:r>
      <w:r>
        <w:rPr>
          <w:rFonts w:hint="eastAsia" w:ascii="仿宋" w:hAnsi="仿宋" w:eastAsia="仿宋" w:cs="仿宋"/>
          <w:sz w:val="24"/>
          <w:szCs w:val="24"/>
          <w:highlight w:val="none"/>
          <w:lang w:eastAsia="zh-CN"/>
        </w:rPr>
        <w:tab/>
      </w:r>
    </w:p>
    <w:p w14:paraId="60790CC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p w14:paraId="512F959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w:t>
      </w:r>
    </w:p>
    <w:p w14:paraId="2507317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p w14:paraId="44F21D3F">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五</w:t>
      </w:r>
      <w:r>
        <w:rPr>
          <w:rFonts w:hint="eastAsia" w:ascii="仿宋" w:hAnsi="仿宋" w:eastAsia="仿宋" w:cs="仿宋"/>
          <w:b/>
          <w:bCs/>
          <w:sz w:val="24"/>
          <w:szCs w:val="24"/>
          <w:highlight w:val="none"/>
        </w:rPr>
        <w:t>、质量安全</w:t>
      </w:r>
    </w:p>
    <w:p w14:paraId="7A8FA9D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热</w:t>
      </w:r>
      <w:r>
        <w:rPr>
          <w:rFonts w:hint="eastAsia" w:ascii="仿宋" w:hAnsi="仿宋" w:eastAsia="仿宋" w:cs="仿宋"/>
          <w:sz w:val="24"/>
          <w:szCs w:val="24"/>
          <w:highlight w:val="none"/>
        </w:rPr>
        <w:t>早餐质量安全必须符合或高于《中华人民共和国食品安全法》及其他</w:t>
      </w:r>
      <w:r>
        <w:rPr>
          <w:rFonts w:hint="eastAsia" w:ascii="仿宋" w:hAnsi="仿宋" w:eastAsia="仿宋" w:cs="仿宋"/>
          <w:sz w:val="24"/>
          <w:szCs w:val="24"/>
          <w:highlight w:val="none"/>
          <w:lang w:eastAsia="zh-CN"/>
        </w:rPr>
        <w:t>国家相关标准</w:t>
      </w:r>
      <w:r>
        <w:rPr>
          <w:rFonts w:hint="eastAsia" w:ascii="仿宋" w:hAnsi="仿宋" w:eastAsia="仿宋" w:cs="仿宋"/>
          <w:sz w:val="24"/>
          <w:szCs w:val="24"/>
          <w:highlight w:val="none"/>
        </w:rPr>
        <w:t>、行业标准的要求。</w:t>
      </w:r>
    </w:p>
    <w:p w14:paraId="3061534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1、学生</w:t>
      </w:r>
      <w:r>
        <w:rPr>
          <w:rFonts w:hint="eastAsia" w:ascii="仿宋" w:hAnsi="仿宋" w:eastAsia="仿宋" w:cs="仿宋"/>
          <w:sz w:val="24"/>
          <w:szCs w:val="24"/>
          <w:highlight w:val="none"/>
          <w:lang w:val="en-US" w:eastAsia="zh-CN"/>
        </w:rPr>
        <w:t>热</w:t>
      </w:r>
      <w:r>
        <w:rPr>
          <w:rFonts w:hint="eastAsia" w:ascii="仿宋" w:hAnsi="仿宋" w:eastAsia="仿宋" w:cs="仿宋"/>
          <w:sz w:val="24"/>
          <w:szCs w:val="24"/>
          <w:highlight w:val="none"/>
        </w:rPr>
        <w:t>早餐熟食产品为符合国家规定食品质量安全标准的新鲜食品，产品包装须是符合国家规定标准的环保材料。</w:t>
      </w:r>
    </w:p>
    <w:p w14:paraId="6CED521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2、牛奶、烘焙类糕点为独立包装，且产品包装上必须有完好的生产厂家、规格、出厂日期、质保期等有效信息。</w:t>
      </w:r>
    </w:p>
    <w:p w14:paraId="62D234F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热</w:t>
      </w:r>
      <w:r>
        <w:rPr>
          <w:rFonts w:hint="eastAsia" w:ascii="仿宋" w:hAnsi="仿宋" w:eastAsia="仿宋" w:cs="仿宋"/>
          <w:sz w:val="24"/>
          <w:szCs w:val="24"/>
          <w:highlight w:val="none"/>
        </w:rPr>
        <w:t>早餐所需的原材料(鸡蛋、大米、蔬菜、油料、面粉</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)均为合格产品。</w:t>
      </w:r>
    </w:p>
    <w:p w14:paraId="4A18DD0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热</w:t>
      </w:r>
      <w:r>
        <w:rPr>
          <w:rFonts w:hint="eastAsia" w:ascii="仿宋" w:hAnsi="仿宋" w:eastAsia="仿宋" w:cs="仿宋"/>
          <w:sz w:val="24"/>
          <w:szCs w:val="24"/>
          <w:highlight w:val="none"/>
        </w:rPr>
        <w:t>早餐所用的水质须有水质定期检测报告。</w:t>
      </w:r>
    </w:p>
    <w:p w14:paraId="107B8DA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5、乙方接受甲方、</w:t>
      </w:r>
      <w:r>
        <w:rPr>
          <w:rFonts w:hint="eastAsia" w:ascii="仿宋" w:hAnsi="仿宋" w:eastAsia="仿宋" w:cs="仿宋"/>
          <w:sz w:val="24"/>
          <w:szCs w:val="24"/>
          <w:highlight w:val="none"/>
          <w:lang w:val="en-US" w:eastAsia="zh-CN"/>
        </w:rPr>
        <w:t>市场监督管理</w:t>
      </w:r>
      <w:r>
        <w:rPr>
          <w:rFonts w:hint="eastAsia" w:ascii="仿宋" w:hAnsi="仿宋" w:eastAsia="仿宋" w:cs="仿宋"/>
          <w:sz w:val="24"/>
          <w:szCs w:val="24"/>
          <w:highlight w:val="none"/>
        </w:rPr>
        <w:t>局等部门不定期对所提供产品的抽样检查，相关费用由乙方承担。</w:t>
      </w:r>
    </w:p>
    <w:p w14:paraId="2AA3F127">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、货物运输、储存与交货</w:t>
      </w:r>
    </w:p>
    <w:p w14:paraId="45B1159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1、货物运输：①</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应按</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要求时间将所需货物运输至</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指定地点，运输过程要保证货物的质量不受损害，运输过程中产生的费用和出现的损失由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承担；②使用车况良好、干净卫生、保证食品安全的车辆配送，以保证产品安全运输到达</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指定地点。</w:t>
      </w:r>
    </w:p>
    <w:p w14:paraId="0500FE7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2、货物储存：</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应有符合卫生条件的产品储藏、保鲜体系和储存场所，空间能够保证空气良好的流通性、适宜储藏的温度等。</w:t>
      </w:r>
    </w:p>
    <w:p w14:paraId="2B6A06E4">
      <w:pPr>
        <w:keepNext w:val="0"/>
        <w:keepLines w:val="0"/>
        <w:pageBreakBefore w:val="0"/>
        <w:widowControl w:val="0"/>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3、货物交付：</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在接</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通知后要及时将货物运输至指定发放地点，由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配合</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组织发放</w:t>
      </w:r>
      <w:r>
        <w:rPr>
          <w:rFonts w:hint="eastAsia" w:ascii="仿宋" w:hAnsi="仿宋" w:eastAsia="仿宋" w:cs="仿宋"/>
          <w:sz w:val="24"/>
          <w:szCs w:val="24"/>
          <w:highlight w:val="none"/>
          <w:lang w:val="en-US" w:eastAsia="zh-CN"/>
        </w:rPr>
        <w:t>（送至学校热食中心温度不低于60℃）。</w:t>
      </w:r>
    </w:p>
    <w:p w14:paraId="756F5FCA">
      <w:pPr>
        <w:keepNext w:val="0"/>
        <w:keepLines w:val="0"/>
        <w:pageBreakBefore w:val="0"/>
        <w:widowControl w:val="0"/>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4、发货清单一式</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份</w:t>
      </w:r>
      <w:r>
        <w:rPr>
          <w:rFonts w:hint="eastAsia" w:ascii="仿宋" w:hAnsi="仿宋" w:eastAsia="仿宋" w:cs="仿宋"/>
          <w:sz w:val="24"/>
          <w:szCs w:val="24"/>
          <w:highlight w:val="none"/>
          <w:lang w:eastAsia="zh-CN"/>
        </w:rPr>
        <w:t>（学校、供应商各执一份留存）</w:t>
      </w:r>
      <w:r>
        <w:rPr>
          <w:rFonts w:hint="eastAsia" w:ascii="仿宋" w:hAnsi="仿宋" w:eastAsia="仿宋" w:cs="仿宋"/>
          <w:sz w:val="24"/>
          <w:szCs w:val="24"/>
          <w:highlight w:val="none"/>
        </w:rPr>
        <w:t>，内容一致，机器打印，不得涂改。清单应包括：生产日期、单价、数量，总数及总金额，送货人与学校接收人共同签名，交给学校(加盖</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公章)</w:t>
      </w:r>
      <w:r>
        <w:rPr>
          <w:rFonts w:hint="eastAsia" w:ascii="仿宋" w:hAnsi="仿宋" w:eastAsia="仿宋" w:cs="仿宋"/>
          <w:sz w:val="24"/>
          <w:szCs w:val="24"/>
          <w:highlight w:val="none"/>
          <w:lang w:val="en-US" w:eastAsia="zh-CN"/>
        </w:rPr>
        <w:t>。</w:t>
      </w:r>
    </w:p>
    <w:p w14:paraId="27EECFB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在产品运输发放的一天前，通知</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指定学校，以按时接货。</w:t>
      </w:r>
    </w:p>
    <w:p w14:paraId="5226A3B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6、产品在到达</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指定地点前发生的不可预见的风险均由</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负责。</w:t>
      </w:r>
    </w:p>
    <w:p w14:paraId="7A662E4C">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七</w:t>
      </w:r>
      <w:r>
        <w:rPr>
          <w:rFonts w:hint="eastAsia" w:ascii="仿宋" w:hAnsi="仿宋" w:eastAsia="仿宋" w:cs="仿宋"/>
          <w:b/>
          <w:bCs/>
          <w:sz w:val="24"/>
          <w:szCs w:val="24"/>
          <w:highlight w:val="none"/>
        </w:rPr>
        <w:t>、双方的权利与义务</w:t>
      </w:r>
    </w:p>
    <w:p w14:paraId="21A859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(一)甲方的权利与义务</w:t>
      </w:r>
    </w:p>
    <w:p w14:paraId="3C2D80D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1、甲方有权利要求乙方提供每批次所购货物的质检报告或产检报告，甲方有权利对乙方所供货物进行不定期另行抽检，由乙方承担所有费用，有权拒收有质量问题的货物。 </w:t>
      </w:r>
    </w:p>
    <w:p w14:paraId="585AE4D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2、甲方有权利拒绝接受非甲方采购货物。</w:t>
      </w:r>
    </w:p>
    <w:p w14:paraId="5E6D426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3、甲方有权利对乙方所供货物超出保质期或包装严重变形、破损，食品污损、变异等拒绝接收。</w:t>
      </w:r>
    </w:p>
    <w:p w14:paraId="480E84E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4、甲方有权利对乙方的货物进行监督和评判。</w:t>
      </w:r>
    </w:p>
    <w:p w14:paraId="05B6A53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5、甲方有义务对乙方所供货物进行规范储存。</w:t>
      </w:r>
    </w:p>
    <w:p w14:paraId="416B824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6、甲方有义务配合乙方对所供货物流向进行监控，不得出现流入非本渠道现象，更不能出现售卖等现象。</w:t>
      </w:r>
    </w:p>
    <w:p w14:paraId="51B6B61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7、在合同期内出现时间、地点、人员变化等情况，甲方有义务事先通告乙方并配合乙方完成相关接交工作。</w:t>
      </w:r>
    </w:p>
    <w:p w14:paraId="5DB7FDB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8、甲方有义务配合乙方处理完善双方合作中的突发事件。</w:t>
      </w:r>
    </w:p>
    <w:p w14:paraId="285F62A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9、甲方有义务配合乙方做好</w:t>
      </w:r>
      <w:r>
        <w:rPr>
          <w:rFonts w:hint="eastAsia" w:ascii="仿宋" w:hAnsi="仿宋" w:eastAsia="仿宋" w:cs="仿宋"/>
          <w:sz w:val="24"/>
          <w:szCs w:val="24"/>
          <w:highlight w:val="none"/>
          <w:lang w:eastAsia="zh-CN"/>
        </w:rPr>
        <w:t>学校</w:t>
      </w:r>
      <w:r>
        <w:rPr>
          <w:rFonts w:hint="eastAsia" w:ascii="仿宋" w:hAnsi="仿宋" w:eastAsia="仿宋" w:cs="仿宋"/>
          <w:sz w:val="24"/>
          <w:szCs w:val="24"/>
          <w:highlight w:val="none"/>
        </w:rPr>
        <w:t>关于食品安全知识的宣传工作。</w:t>
      </w:r>
    </w:p>
    <w:p w14:paraId="278717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10、甲方有义务按时付给乙方货款，(除节假日、财务审计、财务预决算、银行支付系统升级等不可抗拒的因素。)</w:t>
      </w:r>
    </w:p>
    <w:p w14:paraId="07507E5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11、甲方有义务为乙方提供配送学校名单详细信息和学生数。</w:t>
      </w:r>
    </w:p>
    <w:p w14:paraId="6675FF7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(二)乙方的权利与义务</w:t>
      </w:r>
    </w:p>
    <w:p w14:paraId="00194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1、乙方必须遵守《中华人民共和国食品安全法》及其他相关的国家法律法规规章、</w:t>
      </w:r>
      <w:r>
        <w:rPr>
          <w:rFonts w:hint="eastAsia" w:ascii="仿宋" w:hAnsi="仿宋" w:eastAsia="仿宋" w:cs="仿宋"/>
          <w:sz w:val="24"/>
          <w:szCs w:val="24"/>
          <w:highlight w:val="none"/>
          <w:lang w:eastAsia="zh-CN"/>
        </w:rPr>
        <w:t>国家相关标准</w:t>
      </w:r>
      <w:r>
        <w:rPr>
          <w:rFonts w:hint="eastAsia" w:ascii="仿宋" w:hAnsi="仿宋" w:eastAsia="仿宋" w:cs="仿宋"/>
          <w:sz w:val="24"/>
          <w:szCs w:val="24"/>
          <w:highlight w:val="none"/>
        </w:rPr>
        <w:t>、行业标准的所有规定，在进货时查验许可证和相关证明文件，建立并遵守查验记录制度、出厂检验记录制度;向甲方提供食品流通以及生产厂家所需证照复印件及相关资料。</w:t>
      </w:r>
    </w:p>
    <w:p w14:paraId="6AA9794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2、乙方严格按照合同，执行政府有关法律、法规的政策规定和行业规定的相关标准。</w:t>
      </w:r>
    </w:p>
    <w:p w14:paraId="04AA8DF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3、乙方承诺每次配送的货物必须符合甲方采购要求并且符合国家食品卫生标准。</w:t>
      </w:r>
    </w:p>
    <w:p w14:paraId="287476E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4、乙方按照甲方提供的学校地址和时间及时配送到位，并负责发放给学生，确保营养计划完整早餐顺利实施。</w:t>
      </w:r>
    </w:p>
    <w:p w14:paraId="4496DFB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5、乙方应在本合同签订之日起5个工作日内，为实施本项目购买食品安全责任保险，并及时报送甲方备案，保险购买方式由甲方双方具体协商。</w:t>
      </w:r>
    </w:p>
    <w:p w14:paraId="423AE2C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6、乙方每次配送的货物必须在出厂后</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小时内送到学校，每天配送一次，禁止超量配送。具体数量以甲方提供的数量为准。</w:t>
      </w:r>
    </w:p>
    <w:p w14:paraId="38E8074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7、乙方有义务对所供学校的师生进行食品安全知识及管理的培训。</w:t>
      </w:r>
    </w:p>
    <w:p w14:paraId="1FFD57D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8、乙方有义务对所供每所学校每批次提供</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份留样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重量符合留样要求</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，每校每批次提供</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份陪餐。</w:t>
      </w:r>
    </w:p>
    <w:p w14:paraId="4475BA1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9、乙方有义务对所供学校在每次配送的同时提供每批次所供货物的质检报告复印件或出厂自检报告。</w:t>
      </w:r>
    </w:p>
    <w:p w14:paraId="1B3864C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10、乙方在按相关规定送货到位后并出具货物配送票据或货物清单，甲方应及时按采购要求验货，符合所购货物要求的接收并在票据或清单上签字认可，乙方有权监督避免拖延时间或无人接货等现象的出现。 </w:t>
      </w:r>
    </w:p>
    <w:p w14:paraId="10737F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乙方在配送过程中要切实保证人员、车辆及财产安全，若在配送过程中发生安全事故以及经济损失，全部由乙方承担，甲方不承担任何责任。</w:t>
      </w:r>
    </w:p>
    <w:p w14:paraId="41DFA64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乙方给学校提供垃圾袋并进行垃圾回收、处理。</w:t>
      </w:r>
    </w:p>
    <w:p w14:paraId="0F75585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乙方提供培训措施。（对</w:t>
      </w: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进行培训，如配送的各项产品如何存放，如何避免老鼠蟑螂，如何防潮；配送的营养早餐、牛奶如何保温，如何鉴别水果进行消毒清洗等。）</w:t>
      </w:r>
    </w:p>
    <w:p w14:paraId="3B3675D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14、</w:t>
      </w:r>
      <w:r>
        <w:rPr>
          <w:rFonts w:hint="eastAsia" w:ascii="仿宋" w:hAnsi="仿宋" w:eastAsia="仿宋" w:cs="仿宋"/>
          <w:sz w:val="24"/>
          <w:szCs w:val="24"/>
          <w:highlight w:val="none"/>
        </w:rPr>
        <w:t>乙方每学期至少开展一次学生对热早餐的满意度调查。</w:t>
      </w:r>
    </w:p>
    <w:p w14:paraId="08AD1991">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八</w:t>
      </w:r>
      <w:r>
        <w:rPr>
          <w:rFonts w:hint="eastAsia" w:ascii="仿宋" w:hAnsi="仿宋" w:eastAsia="仿宋" w:cs="仿宋"/>
          <w:b/>
          <w:bCs/>
          <w:sz w:val="24"/>
          <w:szCs w:val="24"/>
          <w:highlight w:val="none"/>
        </w:rPr>
        <w:t>、违约责任</w:t>
      </w:r>
    </w:p>
    <w:p w14:paraId="3C18B8C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乙方有下列情形之一的，每发生一次，甲方有权在履约保证金里扣除20%的违约金，但应告知乙方。</w:t>
      </w:r>
    </w:p>
    <w:p w14:paraId="45EBCF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1、乙方向甲方提供的货物不符合采购要求或国家食品卫生标准，甲方有权拒收货物，并有权通知乙方解除合同。</w:t>
      </w:r>
    </w:p>
    <w:p w14:paraId="467C323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向甲方提供的货物若发生企业信誉、质量投诉、食品安全、学生个体或群体身体食物中毒事件等不良记录，甲方有权拒收货物，并有权通知乙方解除合同，乙方应承担对甲方及第三方造成的一切法律责任。</w:t>
      </w:r>
    </w:p>
    <w:p w14:paraId="49A3B9C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3、若乙方违约，没有按照合同要求执行，甲方可以随时通知乙方解除合同，由此造成的损失全部由乙方承担。</w:t>
      </w:r>
    </w:p>
    <w:p w14:paraId="042733D1">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九</w:t>
      </w:r>
      <w:r>
        <w:rPr>
          <w:rFonts w:hint="eastAsia" w:ascii="仿宋" w:hAnsi="仿宋" w:eastAsia="仿宋" w:cs="仿宋"/>
          <w:b/>
          <w:bCs/>
          <w:sz w:val="24"/>
          <w:szCs w:val="24"/>
          <w:highlight w:val="none"/>
        </w:rPr>
        <w:t>、合同争议解决的方式</w:t>
      </w:r>
    </w:p>
    <w:p w14:paraId="3C3AC52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1、对于实施本合同期间发生的任何争议，双方首先通过友好协商解决，如在3天内协商不成，双方一致同意向甲方所在地人民法院提起诉讼。</w:t>
      </w:r>
    </w:p>
    <w:p w14:paraId="118F354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2、对于因出现本合同违约责任1、2、3的情况终止合同后，甲方未确定新的乙方前，由另一中标企业继续供货，付款按照乙方中标价格付款。</w:t>
      </w:r>
    </w:p>
    <w:p w14:paraId="16E72CE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3、本合同双方须严格执行，发生特殊情况时，双方任何一方需变更本合同的，或有一方因故不能履行合同，必须提前3天征得对方书面同意并承担对方因此造成的经济损失，方可终止本合同。</w:t>
      </w:r>
    </w:p>
    <w:p w14:paraId="1DCA72CF">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十、其他事项</w:t>
      </w:r>
    </w:p>
    <w:p w14:paraId="35BE5DE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1、在合同履行期间，遇到中、省、市学生营养改善计划政策的调整，甲方有权调整相应的政策，甚至合同的变更或终止本合同，此情形不视为甲方违约。</w:t>
      </w:r>
    </w:p>
    <w:p w14:paraId="7FCBD91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应充分考虑因</w:t>
      </w:r>
      <w:r>
        <w:rPr>
          <w:rFonts w:hint="eastAsia" w:ascii="仿宋" w:hAnsi="仿宋" w:eastAsia="仿宋" w:cs="仿宋"/>
          <w:sz w:val="24"/>
          <w:szCs w:val="24"/>
          <w:highlight w:val="none"/>
          <w:lang w:val="en-US" w:eastAsia="zh-CN"/>
        </w:rPr>
        <w:t>上级</w:t>
      </w:r>
      <w:r>
        <w:rPr>
          <w:rFonts w:hint="eastAsia" w:ascii="仿宋" w:hAnsi="仿宋" w:eastAsia="仿宋" w:cs="仿宋"/>
          <w:sz w:val="24"/>
          <w:szCs w:val="24"/>
          <w:highlight w:val="none"/>
        </w:rPr>
        <w:t>政策调整</w:t>
      </w:r>
      <w:r>
        <w:rPr>
          <w:rFonts w:hint="eastAsia" w:ascii="仿宋" w:hAnsi="仿宋" w:eastAsia="仿宋" w:cs="仿宋"/>
          <w:sz w:val="24"/>
          <w:szCs w:val="24"/>
          <w:highlight w:val="none"/>
          <w:lang w:val="en-US" w:eastAsia="zh-CN"/>
        </w:rPr>
        <w:t>营养改善计划实施范围而引起</w:t>
      </w:r>
      <w:r>
        <w:rPr>
          <w:rFonts w:hint="eastAsia" w:ascii="仿宋" w:hAnsi="仿宋" w:eastAsia="仿宋" w:cs="仿宋"/>
          <w:sz w:val="24"/>
          <w:szCs w:val="24"/>
          <w:highlight w:val="none"/>
        </w:rPr>
        <w:t>学校</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学生</w:t>
      </w: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缩减</w:t>
      </w:r>
      <w:r>
        <w:rPr>
          <w:rFonts w:hint="eastAsia" w:ascii="仿宋" w:hAnsi="仿宋" w:eastAsia="仿宋" w:cs="仿宋"/>
          <w:sz w:val="24"/>
          <w:szCs w:val="24"/>
          <w:highlight w:val="none"/>
        </w:rPr>
        <w:t>，从而导致供货数量减少的风险及履约期间原材料市场价格的波动导致</w:t>
      </w:r>
      <w:r>
        <w:rPr>
          <w:rFonts w:hint="eastAsia" w:ascii="仿宋" w:hAnsi="仿宋" w:eastAsia="仿宋" w:cs="仿宋"/>
          <w:sz w:val="24"/>
          <w:szCs w:val="24"/>
          <w:highlight w:val="none"/>
          <w:lang w:val="en-US" w:eastAsia="zh-CN"/>
        </w:rPr>
        <w:t>成本增加的风险。</w:t>
      </w:r>
    </w:p>
    <w:p w14:paraId="5B174FD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如因地震、洪涝灾害、台风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流行性疾病</w:t>
      </w:r>
      <w:r>
        <w:rPr>
          <w:rFonts w:hint="eastAsia" w:ascii="仿宋" w:hAnsi="仿宋" w:eastAsia="仿宋" w:cs="仿宋"/>
          <w:sz w:val="24"/>
          <w:szCs w:val="24"/>
          <w:highlight w:val="none"/>
        </w:rPr>
        <w:t>等不可抗因素，导致乙方供应的货物不能如期配送的，征得甲方同意后，在应急供货期内乙方应提供同等或优于中标货物质量的产品，作为临时应急供应，但应急供应期原则上不超过一个月。</w:t>
      </w:r>
    </w:p>
    <w:p w14:paraId="772041B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、招标文件、投标文件、中标通知书均成为合同不可分割的部分。</w:t>
      </w:r>
    </w:p>
    <w:p w14:paraId="590A348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.合同未尽事宜，由双方协商，作为合同补充，与本合同具有同等法律效力。</w:t>
      </w:r>
    </w:p>
    <w:p w14:paraId="06BD0462">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十一、合同有效期 </w:t>
      </w:r>
    </w:p>
    <w:p w14:paraId="01EF8C1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本合同一式</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份，其中，采供双方各执</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份，监管部门备案</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份。各方签字盖章后生效，合同执行完毕自动失效。（合同的服务承诺长期有效）。</w:t>
      </w:r>
    </w:p>
    <w:p w14:paraId="66C642A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14:paraId="5BD5832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   （盖章）                      乙方：   （盖章）</w:t>
      </w:r>
    </w:p>
    <w:p w14:paraId="143F6504">
      <w:pPr>
        <w:spacing w:line="24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法定代表人（授权代表）：</w:t>
      </w:r>
      <w:r>
        <w:rPr>
          <w:rFonts w:hint="eastAsia" w:ascii="仿宋" w:hAnsi="仿宋" w:eastAsia="仿宋" w:cs="仿宋"/>
          <w:sz w:val="24"/>
          <w:szCs w:val="24"/>
          <w:highlight w:val="none"/>
          <w:lang w:eastAsia="zh-CN"/>
        </w:rPr>
        <w:t>（签字）</w:t>
      </w:r>
      <w:r>
        <w:rPr>
          <w:rFonts w:hint="eastAsia" w:ascii="仿宋" w:hAnsi="仿宋" w:eastAsia="仿宋" w:cs="仿宋"/>
          <w:sz w:val="24"/>
          <w:szCs w:val="24"/>
          <w:highlight w:val="none"/>
        </w:rPr>
        <w:t>：       法定代表人（授权代表）：（</w:t>
      </w:r>
      <w:r>
        <w:rPr>
          <w:rFonts w:hint="eastAsia" w:ascii="仿宋" w:hAnsi="仿宋" w:eastAsia="仿宋" w:cs="仿宋"/>
          <w:sz w:val="24"/>
          <w:szCs w:val="24"/>
          <w:highlight w:val="none"/>
          <w:lang w:eastAsia="zh-CN"/>
        </w:rPr>
        <w:t>签字</w:t>
      </w:r>
      <w:r>
        <w:rPr>
          <w:rFonts w:hint="eastAsia" w:ascii="仿宋" w:hAnsi="仿宋" w:eastAsia="仿宋" w:cs="仿宋"/>
          <w:sz w:val="24"/>
          <w:szCs w:val="24"/>
          <w:highlight w:val="none"/>
        </w:rPr>
        <w:t>）：</w:t>
      </w:r>
    </w:p>
    <w:p w14:paraId="083EDFB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电    话 ：                            电    话：</w:t>
      </w:r>
    </w:p>
    <w:p w14:paraId="75F9BBF9">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签约日期： 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签约日期：  年   月   日</w:t>
      </w:r>
    </w:p>
    <w:p w14:paraId="3F4928DD">
      <w:pPr>
        <w:rPr>
          <w:highlight w:val="none"/>
        </w:rPr>
      </w:pPr>
    </w:p>
    <w:bookmarkEnd w:id="0"/>
    <w:sectPr>
      <w:pgSz w:w="11906" w:h="16838"/>
      <w:pgMar w:top="1417" w:right="1304" w:bottom="1417"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C96DDF"/>
    <w:rsid w:val="00451E01"/>
    <w:rsid w:val="024308EB"/>
    <w:rsid w:val="034627AE"/>
    <w:rsid w:val="05271470"/>
    <w:rsid w:val="20CF1A57"/>
    <w:rsid w:val="23FA632C"/>
    <w:rsid w:val="2E263223"/>
    <w:rsid w:val="31174288"/>
    <w:rsid w:val="31953975"/>
    <w:rsid w:val="347248DD"/>
    <w:rsid w:val="35977F8E"/>
    <w:rsid w:val="48376CFF"/>
    <w:rsid w:val="5413645C"/>
    <w:rsid w:val="600644A0"/>
    <w:rsid w:val="6D6F5466"/>
    <w:rsid w:val="7DC96D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spacing w:after="156" w:afterLines="50" w:line="360" w:lineRule="auto"/>
    </w:pPr>
    <w:rPr>
      <w:rFonts w:ascii="宋体" w:hAnsi="宋体"/>
      <w:color w:val="00000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6211</Words>
  <Characters>6254</Characters>
  <Lines>0</Lines>
  <Paragraphs>0</Paragraphs>
  <TotalTime>17</TotalTime>
  <ScaleCrop>false</ScaleCrop>
  <LinksUpToDate>false</LinksUpToDate>
  <CharactersWithSpaces>6687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2026-01-20T03:11:00Z</dcterms:created>
  <dc:creator>Administrator</dc:creator>
  <cp:lastModifiedBy>Administrator</cp:lastModifiedBy>
  <dcterms:modified xsi:type="dcterms:W3CDTF">2026-02-24T03:19:44Z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DA53A4FD20AD43FBBE1A4975B4DE0EF7_13</vt:lpwstr>
  </property>
  <property fmtid="{D5CDD505-2E9C-101B-9397-08002B2CF9AE}" pid="4" name="KSOTemplateDocerSaveRecord">
    <vt:lpwstr>eyJoZGlkIjoiMjMwMTQ2MjFmOGM3MTNkNTIwNzM4N2YwYjgyYjcxM2YiLCJ1c2VySWQiOiIyMzY2MjkxODgifQ==</vt:lpwstr>
  </property>
</Properties>
</file>