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版本号：DXZB-2026-020920260227002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胃镜采购项目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DXZB-2026-0209</w:t>
      </w:r>
      <w:r>
        <w:br/>
      </w:r>
      <w:r>
        <w:br/>
      </w:r>
      <w:r>
        <w:br/>
      </w:r>
      <w:r>
        <w:br/>
      </w:r>
      <w:r>
        <w:br/>
      </w:r>
    </w:p>
    <w:p>
      <w:pPr>
        <w:pStyle w:val="null3"/>
        <w:jc w:val="center"/>
        <w:outlineLvl w:val="5"/>
      </w:pPr>
      <w:r>
        <w:rPr>
          <w:rFonts w:ascii="仿宋_GB2312" w:hAnsi="仿宋_GB2312" w:cs="仿宋_GB2312" w:eastAsia="仿宋_GB2312"/>
          <w:sz w:val="15"/>
          <w:b/>
        </w:rPr>
        <w:t>西安市鄠邑区人民医院</w:t>
      </w:r>
    </w:p>
    <w:p>
      <w:pPr>
        <w:pStyle w:val="null3"/>
        <w:jc w:val="center"/>
        <w:outlineLvl w:val="5"/>
      </w:pPr>
      <w:r>
        <w:rPr>
          <w:rFonts w:ascii="仿宋_GB2312" w:hAnsi="仿宋_GB2312" w:cs="仿宋_GB2312" w:eastAsia="仿宋_GB2312"/>
          <w:sz w:val="15"/>
          <w:b/>
        </w:rPr>
        <w:t>陕西德信招标有限公司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陕西德信招标有限公司</w:t>
      </w:r>
      <w:r>
        <w:rPr>
          <w:rFonts w:ascii="仿宋_GB2312" w:hAnsi="仿宋_GB2312" w:cs="仿宋_GB2312" w:eastAsia="仿宋_GB2312"/>
        </w:rPr>
        <w:t>（以下简称“代理机构”）受</w:t>
      </w:r>
      <w:r>
        <w:rPr>
          <w:rFonts w:ascii="仿宋_GB2312" w:hAnsi="仿宋_GB2312" w:cs="仿宋_GB2312" w:eastAsia="仿宋_GB2312"/>
        </w:rPr>
        <w:t>西安市鄠邑区人民医院</w:t>
      </w:r>
      <w:r>
        <w:rPr>
          <w:rFonts w:ascii="仿宋_GB2312" w:hAnsi="仿宋_GB2312" w:cs="仿宋_GB2312" w:eastAsia="仿宋_GB2312"/>
        </w:rPr>
        <w:t>委托，拟对</w:t>
      </w:r>
      <w:r>
        <w:rPr>
          <w:rFonts w:ascii="仿宋_GB2312" w:hAnsi="仿宋_GB2312" w:cs="仿宋_GB2312" w:eastAsia="仿宋_GB2312"/>
        </w:rPr>
        <w:t>胃镜采购项目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DXZB-2026-0209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胃镜采购项目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我院现有日本宾得电子胃镜检查系统一套，配备三条胃镜，分别于2012年、2014年和2019年购置。由于使用年限较长，其中两条胃镜缺乏染色、放大等功能，无法满足胃癌筛查的要求，导致无法开展早期胃癌筛查工作，本次拟增加一条胃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1、主体资格证明文件：具有独立承担民事责任能力的法人或非法人组织或自然人，提供合法有效的统一社会信用代码的营业执照等证明文件；</w:t>
      </w:r>
    </w:p>
    <w:p>
      <w:pPr>
        <w:pStyle w:val="null3"/>
      </w:pPr>
      <w:r>
        <w:rPr>
          <w:rFonts w:ascii="仿宋_GB2312" w:hAnsi="仿宋_GB2312" w:cs="仿宋_GB2312" w:eastAsia="仿宋_GB2312"/>
        </w:rPr>
        <w:t>2、法定代表人授权书或证明书：提供法定代表人授权委托书及被授权人身份证（供应商为法定代表人时，须提交法定代表人证明书）；</w:t>
      </w:r>
    </w:p>
    <w:p>
      <w:pPr>
        <w:pStyle w:val="null3"/>
      </w:pPr>
      <w:r>
        <w:rPr>
          <w:rFonts w:ascii="仿宋_GB2312" w:hAnsi="仿宋_GB2312" w:cs="仿宋_GB2312" w:eastAsia="仿宋_GB2312"/>
        </w:rPr>
        <w:t>3、特定资格要求：供应商为生产厂家的须提供医疗器械生产许可证（进口产品除外）；供应商为代理商的根据所投产品类别还需提供第二类医疗器械备案凭证或第三类医疗器械经营许可证；根据所投产品的类别出具该类产品注册证；所投产品为进口产品时提供完整有效的授权链；</w:t>
      </w:r>
    </w:p>
    <w:p>
      <w:pPr>
        <w:pStyle w:val="null3"/>
      </w:pPr>
      <w:r>
        <w:rPr>
          <w:rFonts w:ascii="仿宋_GB2312" w:hAnsi="仿宋_GB2312" w:cs="仿宋_GB2312" w:eastAsia="仿宋_GB2312"/>
        </w:rPr>
        <w:t>4、财务状况证明：提供经会计师事务所审计的2024年财务审计报告（且出具的审计报告应当经过注册会计师行业统一监管平台备案赋码）或银行出具的资信证明；（成立时间至提交响应文件截止时间不足三个月的可不提供）；</w:t>
      </w:r>
    </w:p>
    <w:p>
      <w:pPr>
        <w:pStyle w:val="null3"/>
      </w:pPr>
      <w:r>
        <w:rPr>
          <w:rFonts w:ascii="仿宋_GB2312" w:hAnsi="仿宋_GB2312" w:cs="仿宋_GB2312" w:eastAsia="仿宋_GB2312"/>
        </w:rPr>
        <w:t>5、社保缴纳情况证明：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p>
      <w:pPr>
        <w:pStyle w:val="null3"/>
      </w:pPr>
      <w:r>
        <w:rPr>
          <w:rFonts w:ascii="仿宋_GB2312" w:hAnsi="仿宋_GB2312" w:cs="仿宋_GB2312" w:eastAsia="仿宋_GB2312"/>
        </w:rPr>
        <w:t>6、税收缴纳情况证明：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pPr>
        <w:pStyle w:val="null3"/>
      </w:pPr>
      <w:r>
        <w:rPr>
          <w:rFonts w:ascii="仿宋_GB2312" w:hAnsi="仿宋_GB2312" w:cs="仿宋_GB2312" w:eastAsia="仿宋_GB2312"/>
        </w:rPr>
        <w:t>7、声明1：具有履行合同所必需的设备和专业技术能力的书面声明；</w:t>
      </w:r>
    </w:p>
    <w:p>
      <w:pPr>
        <w:pStyle w:val="null3"/>
      </w:pPr>
      <w:r>
        <w:rPr>
          <w:rFonts w:ascii="仿宋_GB2312" w:hAnsi="仿宋_GB2312" w:cs="仿宋_GB2312" w:eastAsia="仿宋_GB2312"/>
        </w:rPr>
        <w:t>8、声明2：提供参加政府采购活动前三年内，在经营活动中没有重大违法记录书面声明；</w:t>
      </w:r>
    </w:p>
    <w:p>
      <w:pPr>
        <w:pStyle w:val="null3"/>
      </w:pPr>
      <w:r>
        <w:rPr>
          <w:rFonts w:ascii="仿宋_GB2312" w:hAnsi="仿宋_GB2312" w:cs="仿宋_GB2312" w:eastAsia="仿宋_GB2312"/>
        </w:rPr>
        <w:t>9、信用查询结果：未被列入失信被执行人、重大税收违法失信主体、政府采购严重违法失信行为记录名单；以“信用中国”网站（www.creditchina.gov.cn）或中国政府采购网（www.ccgp.gov.cn）查询结果为准；</w:t>
      </w:r>
    </w:p>
    <w:p>
      <w:pPr>
        <w:pStyle w:val="null3"/>
      </w:pPr>
      <w:r>
        <w:rPr>
          <w:rFonts w:ascii="仿宋_GB2312" w:hAnsi="仿宋_GB2312" w:cs="仿宋_GB2312" w:eastAsia="仿宋_GB2312"/>
        </w:rPr>
        <w:t>10、不接受联合体投标。：本项目不接受联合体投标。</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陕西省西安市鄠邑区渼陂西路5号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029-64812533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陕西省西安市雁塔区南二环东段凯森盛世一号B座四层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赵恬钰、周菊、王清玺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029-82694900转8014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采购包1：410,000.00元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采购包1：410,000.00元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展和改革委员会办公厅关于招标代理服务收费有关问题的通知》（发改办价格〔2003〕857号）规定向中标（成交）供应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西安市鄠邑区人民医院</w:t>
      </w:r>
      <w:r>
        <w:rPr>
          <w:rFonts w:ascii="仿宋_GB2312" w:hAnsi="仿宋_GB2312" w:cs="仿宋_GB2312" w:eastAsia="仿宋_GB2312"/>
        </w:rPr>
        <w:t>和</w:t>
      </w:r>
      <w:r>
        <w:rPr>
          <w:rFonts w:ascii="仿宋_GB2312" w:hAnsi="仿宋_GB2312" w:cs="仿宋_GB2312" w:eastAsia="仿宋_GB2312"/>
        </w:rPr>
        <w:t>陕西德信招标有限公司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陕西德信招标有限公司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西安市鄠邑区人民医院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陕西德信招标有限公司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符合国家、行业标准和单一来源文件及其响应文件执行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我院现有日本宾得电子胃镜检查系统一套，配备三条胃镜，分别于2012年、2014年和2019年购置。由于使用年限较长，其中两条胃镜缺乏染色、放大等功能，无法满足胃癌筛查的要求，导致无法开展早期胃癌筛查工作，本次拟增加一条胃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胃镜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410,000.00</w:t>
            </w:r>
          </w:p>
        </w:tc>
        <w:tc>
          <w:tcPr>
            <w:tcW w:type="dxa" w:w="831"/>
          </w:tcPr>
          <w:p>
            <w:pPr>
              <w:pStyle w:val="null3"/>
            </w:pPr>
            <w:r>
              <w:rPr>
                <w:rFonts w:ascii="仿宋_GB2312" w:hAnsi="仿宋_GB2312" w:cs="仿宋_GB2312" w:eastAsia="仿宋_GB2312"/>
              </w:rPr>
              <w:t>条</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标的名称：胃镜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rFonts w:ascii="仿宋_GB2312" w:hAnsi="仿宋_GB2312" w:cs="仿宋_GB2312" w:eastAsia="仿宋_GB2312"/>
                      <w:sz w:val="18"/>
                      <w:b/>
                    </w:rPr>
                    <w:t>一、设备总说明</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1.1内镜原装进口</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二、设备配置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2.1电子上消化道内窥镜，数量1条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三、总体要求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3.1提供详细配置清单</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3.2整体防水设计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四、技术参数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4.1</w:t>
                  </w:r>
                  <w:r>
                    <w:rPr>
                      <w:rFonts w:ascii="仿宋_GB2312" w:hAnsi="仿宋_GB2312" w:cs="仿宋_GB2312" w:eastAsia="仿宋_GB2312"/>
                      <w:sz w:val="18"/>
                      <w:color w:val="000000"/>
                    </w:rPr>
                    <w:t>视野角≥140°</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4.2</w:t>
                  </w:r>
                  <w:r>
                    <w:rPr>
                      <w:rFonts w:ascii="仿宋_GB2312" w:hAnsi="仿宋_GB2312" w:cs="仿宋_GB2312" w:eastAsia="仿宋_GB2312"/>
                      <w:sz w:val="18"/>
                      <w:color w:val="000000"/>
                    </w:rPr>
                    <w:t>视野方向</w:t>
                  </w:r>
                  <w:r>
                    <w:rPr>
                      <w:rFonts w:ascii="仿宋_GB2312" w:hAnsi="仿宋_GB2312" w:cs="仿宋_GB2312" w:eastAsia="仿宋_GB2312"/>
                      <w:sz w:val="18"/>
                      <w:color w:val="000000"/>
                    </w:rPr>
                    <w:t>：</w:t>
                  </w:r>
                  <w:r>
                    <w:rPr>
                      <w:rFonts w:ascii="仿宋_GB2312" w:hAnsi="仿宋_GB2312" w:cs="仿宋_GB2312" w:eastAsia="仿宋_GB2312"/>
                      <w:sz w:val="18"/>
                      <w:color w:val="000000"/>
                    </w:rPr>
                    <w:t>直视</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★4.3</w:t>
                  </w:r>
                  <w:r>
                    <w:rPr>
                      <w:rFonts w:ascii="仿宋_GB2312" w:hAnsi="仿宋_GB2312" w:cs="仿宋_GB2312" w:eastAsia="仿宋_GB2312"/>
                      <w:sz w:val="18"/>
                      <w:color w:val="000000"/>
                    </w:rPr>
                    <w:t>景深2-100mm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4.4</w:t>
                  </w:r>
                  <w:r>
                    <w:rPr>
                      <w:rFonts w:ascii="仿宋_GB2312" w:hAnsi="仿宋_GB2312" w:cs="仿宋_GB2312" w:eastAsia="仿宋_GB2312"/>
                      <w:sz w:val="18"/>
                      <w:color w:val="000000"/>
                    </w:rPr>
                    <w:t>弯曲角度</w:t>
                  </w:r>
                  <w:r>
                    <w:rPr>
                      <w:rFonts w:ascii="仿宋_GB2312" w:hAnsi="仿宋_GB2312" w:cs="仿宋_GB2312" w:eastAsia="仿宋_GB2312"/>
                      <w:sz w:val="18"/>
                      <w:color w:val="000000"/>
                    </w:rPr>
                    <w:t>：</w:t>
                  </w:r>
                  <w:r>
                    <w:rPr>
                      <w:rFonts w:ascii="仿宋_GB2312" w:hAnsi="仿宋_GB2312" w:cs="仿宋_GB2312" w:eastAsia="仿宋_GB2312"/>
                      <w:sz w:val="18"/>
                      <w:color w:val="000000"/>
                    </w:rPr>
                    <w:t>上≥210°、下≥120°、左≥120°、右≥120°</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4.5</w:t>
                  </w:r>
                  <w:r>
                    <w:rPr>
                      <w:rFonts w:ascii="仿宋_GB2312" w:hAnsi="仿宋_GB2312" w:cs="仿宋_GB2312" w:eastAsia="仿宋_GB2312"/>
                      <w:sz w:val="18"/>
                      <w:color w:val="000000"/>
                    </w:rPr>
                    <w:t>先端部外径</w:t>
                  </w:r>
                  <w:r>
                    <w:rPr>
                      <w:rFonts w:ascii="仿宋_GB2312" w:hAnsi="仿宋_GB2312" w:cs="仿宋_GB2312" w:eastAsia="仿宋_GB2312"/>
                      <w:sz w:val="18"/>
                      <w:color w:val="000000"/>
                    </w:rPr>
                    <w:t>：</w:t>
                  </w:r>
                  <w:r>
                    <w:rPr>
                      <w:rFonts w:ascii="仿宋_GB2312" w:hAnsi="仿宋_GB2312" w:cs="仿宋_GB2312" w:eastAsia="仿宋_GB2312"/>
                      <w:sz w:val="18"/>
                      <w:color w:val="000000"/>
                    </w:rPr>
                    <w:t>≤9.9mm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4.6</w:t>
                  </w:r>
                  <w:r>
                    <w:rPr>
                      <w:rFonts w:ascii="仿宋_GB2312" w:hAnsi="仿宋_GB2312" w:cs="仿宋_GB2312" w:eastAsia="仿宋_GB2312"/>
                      <w:sz w:val="18"/>
                      <w:color w:val="000000"/>
                    </w:rPr>
                    <w:t>插入部外径</w:t>
                  </w:r>
                  <w:r>
                    <w:rPr>
                      <w:rFonts w:ascii="仿宋_GB2312" w:hAnsi="仿宋_GB2312" w:cs="仿宋_GB2312" w:eastAsia="仿宋_GB2312"/>
                      <w:sz w:val="18"/>
                      <w:color w:val="000000"/>
                    </w:rPr>
                    <w:t>：</w:t>
                  </w:r>
                  <w:r>
                    <w:rPr>
                      <w:rFonts w:ascii="仿宋_GB2312" w:hAnsi="仿宋_GB2312" w:cs="仿宋_GB2312" w:eastAsia="仿宋_GB2312"/>
                      <w:sz w:val="18"/>
                      <w:color w:val="000000"/>
                    </w:rPr>
                    <w:t>≤9.8mm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4.7</w:t>
                  </w:r>
                  <w:r>
                    <w:rPr>
                      <w:rFonts w:ascii="仿宋_GB2312" w:hAnsi="仿宋_GB2312" w:cs="仿宋_GB2312" w:eastAsia="仿宋_GB2312"/>
                      <w:sz w:val="18"/>
                      <w:color w:val="000000"/>
                    </w:rPr>
                    <w:t>内镜管道</w:t>
                  </w:r>
                  <w:r>
                    <w:rPr>
                      <w:rFonts w:ascii="仿宋_GB2312" w:hAnsi="仿宋_GB2312" w:cs="仿宋_GB2312" w:eastAsia="仿宋_GB2312"/>
                      <w:sz w:val="18"/>
                      <w:color w:val="000000"/>
                    </w:rPr>
                    <w:t>：</w:t>
                  </w:r>
                  <w:r>
                    <w:rPr>
                      <w:rFonts w:ascii="仿宋_GB2312" w:hAnsi="仿宋_GB2312" w:cs="仿宋_GB2312" w:eastAsia="仿宋_GB2312"/>
                      <w:sz w:val="18"/>
                      <w:color w:val="000000"/>
                    </w:rPr>
                    <w:t>≥3.2mm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4.8</w:t>
                  </w:r>
                  <w:r>
                    <w:rPr>
                      <w:rFonts w:ascii="仿宋_GB2312" w:hAnsi="仿宋_GB2312" w:cs="仿宋_GB2312" w:eastAsia="仿宋_GB2312"/>
                      <w:sz w:val="18"/>
                      <w:color w:val="000000"/>
                    </w:rPr>
                    <w:t>有效长度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5</w:t>
                  </w:r>
                  <w:r>
                    <w:rPr>
                      <w:rFonts w:ascii="仿宋_GB2312" w:hAnsi="仿宋_GB2312" w:cs="仿宋_GB2312" w:eastAsia="仿宋_GB2312"/>
                      <w:sz w:val="18"/>
                      <w:color w:val="000000"/>
                    </w:rPr>
                    <w:t>0mm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4.9</w:t>
                  </w:r>
                  <w:r>
                    <w:rPr>
                      <w:rFonts w:ascii="仿宋_GB2312" w:hAnsi="仿宋_GB2312" w:cs="仿宋_GB2312" w:eastAsia="仿宋_GB2312"/>
                      <w:sz w:val="18"/>
                      <w:color w:val="000000"/>
                    </w:rPr>
                    <w:t>全长</w:t>
                  </w:r>
                  <w:r>
                    <w:rPr>
                      <w:rFonts w:ascii="仿宋_GB2312" w:hAnsi="仿宋_GB2312" w:cs="仿宋_GB2312" w:eastAsia="仿宋_GB2312"/>
                      <w:sz w:val="18"/>
                      <w:color w:val="000000"/>
                    </w:rPr>
                    <w:t>：</w:t>
                  </w:r>
                  <w:r>
                    <w:rPr>
                      <w:rFonts w:ascii="仿宋_GB2312" w:hAnsi="仿宋_GB2312" w:cs="仿宋_GB2312" w:eastAsia="仿宋_GB2312"/>
                      <w:sz w:val="18"/>
                      <w:color w:val="000000"/>
                    </w:rPr>
                    <w:t>≥13</w:t>
                  </w:r>
                  <w:r>
                    <w:rPr>
                      <w:rFonts w:ascii="仿宋_GB2312" w:hAnsi="仿宋_GB2312" w:cs="仿宋_GB2312" w:eastAsia="仿宋_GB2312"/>
                      <w:sz w:val="18"/>
                      <w:color w:val="000000"/>
                    </w:rPr>
                    <w:t>66</w:t>
                  </w:r>
                  <w:r>
                    <w:rPr>
                      <w:rFonts w:ascii="仿宋_GB2312" w:hAnsi="仿宋_GB2312" w:cs="仿宋_GB2312" w:eastAsia="仿宋_GB2312"/>
                      <w:sz w:val="18"/>
                      <w:color w:val="000000"/>
                    </w:rPr>
                    <w:t>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4.10</w:t>
                  </w:r>
                  <w:r>
                    <w:rPr>
                      <w:rFonts w:ascii="仿宋_GB2312" w:hAnsi="仿宋_GB2312" w:cs="仿宋_GB2312" w:eastAsia="仿宋_GB2312"/>
                      <w:sz w:val="18"/>
                      <w:color w:val="000000"/>
                    </w:rPr>
                    <w:t>内镜180度旋转功能</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4.11</w:t>
                  </w:r>
                  <w:r>
                    <w:rPr>
                      <w:rFonts w:ascii="仿宋_GB2312" w:hAnsi="仿宋_GB2312" w:cs="仿宋_GB2312" w:eastAsia="仿宋_GB2312"/>
                      <w:sz w:val="18"/>
                      <w:color w:val="000000"/>
                    </w:rPr>
                    <w:t>前向式射水功能</w:t>
                  </w:r>
                  <w:r>
                    <w:rPr>
                      <w:rFonts w:ascii="仿宋_GB2312" w:hAnsi="仿宋_GB2312" w:cs="仿宋_GB2312" w:eastAsia="仿宋_GB2312"/>
                      <w:sz w:val="18"/>
                      <w:b/>
                      <w:color w:val="000000"/>
                    </w:rPr>
                    <w:t>：</w:t>
                  </w:r>
                  <w:r>
                    <w:rPr>
                      <w:rFonts w:ascii="仿宋_GB2312" w:hAnsi="仿宋_GB2312" w:cs="仿宋_GB2312" w:eastAsia="仿宋_GB2312"/>
                      <w:sz w:val="18"/>
                      <w:color w:val="000000"/>
                    </w:rPr>
                    <w:t>ESD、EMR等内镜下治疗手术的重要辅助功能</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设备验收合格，正常运行半年后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设备验收合格，正常运行一年后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甲乙双方合同内约定</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具有独立承担民事责任能力的法人或非法人组织或自然人，提供合法有效的统一社会信用代码的营业执照等证明文件；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法定代表人授权书或证明书</w:t>
            </w:r>
          </w:p>
        </w:tc>
        <w:tc>
          <w:tcPr>
            <w:tcW w:type="dxa" w:w="3322"/>
          </w:tcPr>
          <w:p>
            <w:pPr>
              <w:pStyle w:val="null3"/>
            </w:pPr>
            <w:r>
              <w:rPr>
                <w:rFonts w:ascii="仿宋_GB2312" w:hAnsi="仿宋_GB2312" w:cs="仿宋_GB2312" w:eastAsia="仿宋_GB2312"/>
              </w:rPr>
              <w:t>提供法定代表人授权委托书及被授权人身份证（供应商为法定代表人时，须提交法定代表人证明书）；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为生产厂家的须提供医疗器械生产许可证（进口产品除外）；供应商为代理商的根据所投产品类别还需提供第二类医疗器械备案凭证或第三类医疗器械经营许可证；根据所投产品的类别出具该类产品注册证；所投产品为进口产品时提供完整有效的授权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提供经会计师事务所审计的2024年财务审计报告（且出具的审计报告应当经过注册会计师行业统一监管平台备案赋码）或银行出具的资信证明；（成立时间至提交响应文件截止时间不足三个月的可不提供）；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社保缴纳情况证明</w:t>
            </w:r>
          </w:p>
        </w:tc>
        <w:tc>
          <w:tcPr>
            <w:tcW w:type="dxa" w:w="3322"/>
          </w:tcPr>
          <w:p>
            <w:pPr>
              <w:pStyle w:val="null3"/>
            </w:pPr>
            <w:r>
              <w:rPr>
                <w:rFonts w:ascii="仿宋_GB2312" w:hAnsi="仿宋_GB2312" w:cs="仿宋_GB2312" w:eastAsia="仿宋_GB2312"/>
              </w:rPr>
              <w:t>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税收缴纳情况证明</w:t>
            </w:r>
          </w:p>
        </w:tc>
        <w:tc>
          <w:tcPr>
            <w:tcW w:type="dxa" w:w="3322"/>
          </w:tcPr>
          <w:p>
            <w:pPr>
              <w:pStyle w:val="null3"/>
            </w:pPr>
            <w:r>
              <w:rPr>
                <w:rFonts w:ascii="仿宋_GB2312" w:hAnsi="仿宋_GB2312" w:cs="仿宋_GB2312" w:eastAsia="仿宋_GB2312"/>
              </w:rPr>
              <w:t>提供投标截止日前半年内任意一个月的纳税证明或完税证明，单据应有代收机构或税务机关的公章或业务专用章；依法免税的单位应提供相关证明材料；（成立时间至提交响应文件截止时间不足三个月的可不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声明1</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声明2</w:t>
            </w:r>
          </w:p>
        </w:tc>
        <w:tc>
          <w:tcPr>
            <w:tcW w:type="dxa" w:w="3322"/>
          </w:tcPr>
          <w:p>
            <w:pPr>
              <w:pStyle w:val="null3"/>
            </w:pPr>
            <w:r>
              <w:rPr>
                <w:rFonts w:ascii="仿宋_GB2312" w:hAnsi="仿宋_GB2312" w:cs="仿宋_GB2312" w:eastAsia="仿宋_GB2312"/>
              </w:rPr>
              <w:t>提供参加政府采购活动前三年内，在经营活动中没有重大违法记录书面声明；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信用查询结果</w:t>
            </w:r>
          </w:p>
        </w:tc>
        <w:tc>
          <w:tcPr>
            <w:tcW w:type="dxa" w:w="3322"/>
          </w:tcPr>
          <w:p>
            <w:pPr>
              <w:pStyle w:val="null3"/>
            </w:pPr>
            <w:r>
              <w:rPr>
                <w:rFonts w:ascii="仿宋_GB2312" w:hAnsi="仿宋_GB2312" w:cs="仿宋_GB2312" w:eastAsia="仿宋_GB2312"/>
              </w:rPr>
              <w:t>未被列入失信被执行人、重大税收违法失信主体、政府采购严重违法失信行为记录名单；以“信用中国”网站（www.creditchina.gov.cn）或中国政府采购网（www.ccgp.gov.cn）查询结果为准；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报价唯一，且不超过限价。</w:t>
            </w:r>
          </w:p>
        </w:tc>
        <w:tc>
          <w:tcPr>
            <w:tcW w:type="dxa" w:w="1661"/>
          </w:tcPr>
          <w:p>
            <w:pPr>
              <w:pStyle w:val="null3"/>
            </w:pPr>
            <w:r>
              <w:rPr>
                <w:rFonts w:ascii="仿宋_GB2312" w:hAnsi="仿宋_GB2312" w:cs="仿宋_GB2312" w:eastAsia="仿宋_GB2312"/>
              </w:rPr>
              <w:t>投标报价明细表.docx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签署、盖章均符合招标文件要求，且无遗漏。</w:t>
            </w:r>
          </w:p>
        </w:tc>
        <w:tc>
          <w:tcPr>
            <w:tcW w:type="dxa" w:w="1661"/>
          </w:tcPr>
          <w:p>
            <w:pPr>
              <w:pStyle w:val="null3"/>
            </w:pPr>
            <w:r>
              <w:rPr>
                <w:rFonts w:ascii="仿宋_GB2312" w:hAnsi="仿宋_GB2312" w:cs="仿宋_GB2312" w:eastAsia="仿宋_GB2312"/>
              </w:rPr>
              <w:t>投标报价明细表.docx 中小企业声明函 商务应答表 供应商应提交的相关资格证明材料 报价表 资格证明文件.docx 响应文件封面 产品技术参数表 残疾人福利性单位声明函 标的清单 企业关联关系承诺书.docx 项目实施方案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详见附件：企业关联关系承诺书.docx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详见附件：投标报价明细表.docx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详见附件：医疗设备买卖合同.docx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