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版本号：HYZB-CS-202600120260204001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鄠邑区地下水资源调查评价及编制地下水保护利用规划项目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HYZB-CS-2026001</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鄠邑区地下水资源调查评价及编制地下水保护利用规划项目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HYZB-CS-2026001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鄠邑区地下水资源调查评价及编制地下水保护利用规划项目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收集资料开展鄠邑区地下水资源调查、水质监测，并在调查评价成果的基础上，编制鄠邑区地下水保护利用规划。详见采购文件。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采购包1（鄠邑区地下水资源调查评价及编制地下水保护利用规划项目）：属于专门面向中小企业采购。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w:t>
      </w:r>
    </w:p>
    <w:p>
      <w:pPr>
        <w:pStyle w:val="null3"/>
      </w:pPr>
      <w:r>
        <w:rPr>
          <w:rFonts w:ascii="仿宋_GB2312" w:hAnsi="仿宋_GB2312" w:cs="仿宋_GB2312" w:eastAsia="仿宋_GB2312"/>
        </w:rPr>
        <w:t>2、财务要求：提供2023年度或2024年度的财务审计报告或投标文件截止时间前六个月内其基本账户开户银行出具的资信证明（附基本存款账户信息）。</w:t>
      </w:r>
    </w:p>
    <w:p>
      <w:pPr>
        <w:pStyle w:val="null3"/>
      </w:pPr>
      <w:r>
        <w:rPr>
          <w:rFonts w:ascii="仿宋_GB2312" w:hAnsi="仿宋_GB2312" w:cs="仿宋_GB2312" w:eastAsia="仿宋_GB2312"/>
        </w:rPr>
        <w:t>3、纳税要求：提供投标文件递交截止时间前近六个月任意时段已缴纳完税凭证或税务机关开具的完税证明（任意税种）；依法免税的应提供相关文件证明。</w:t>
      </w:r>
    </w:p>
    <w:p>
      <w:pPr>
        <w:pStyle w:val="null3"/>
      </w:pPr>
      <w:r>
        <w:rPr>
          <w:rFonts w:ascii="仿宋_GB2312" w:hAnsi="仿宋_GB2312" w:cs="仿宋_GB2312" w:eastAsia="仿宋_GB2312"/>
        </w:rPr>
        <w:t>4、社保要求：提供投标文件递交截止时间前近六个月任意时段已缴纳的社会保障资金缴存单据或社保机构开具的社会保险参保缴费情况证明；依法不需要缴纳社会保障资金的应提供相关文件证明。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5、具备履行合同所必需的设备和专业技术能力：具备履行合同所必需的设备和专业技术能力的承诺。</w:t>
      </w:r>
    </w:p>
    <w:p>
      <w:pPr>
        <w:pStyle w:val="null3"/>
      </w:pPr>
      <w:r>
        <w:rPr>
          <w:rFonts w:ascii="仿宋_GB2312" w:hAnsi="仿宋_GB2312" w:cs="仿宋_GB2312" w:eastAsia="仿宋_GB2312"/>
        </w:rPr>
        <w:t>6、参加政府采购活动前3年内，在经营活动中没有重大违法记录：提供参加政府采购活动前3年内，在经营活动中没有重大违法记录书面声明。</w:t>
      </w:r>
    </w:p>
    <w:p>
      <w:pPr>
        <w:pStyle w:val="null3"/>
      </w:pPr>
      <w:r>
        <w:rPr>
          <w:rFonts w:ascii="仿宋_GB2312" w:hAnsi="仿宋_GB2312" w:cs="仿宋_GB2312" w:eastAsia="仿宋_GB2312"/>
        </w:rPr>
        <w:t>7、信用要求：信用要求：未被列入“信用中国”网站（www.creditchina.gov.cn）、“中国政府采购网”网站（www.ccgp.gov.cn）失信被执行人名单、重大税收违法案件当事人名单、政府采购严重违法失信行为记录名单。</w:t>
      </w:r>
    </w:p>
    <w:p>
      <w:pPr>
        <w:pStyle w:val="null3"/>
      </w:pPr>
      <w:r>
        <w:rPr>
          <w:rFonts w:ascii="仿宋_GB2312" w:hAnsi="仿宋_GB2312" w:cs="仿宋_GB2312" w:eastAsia="仿宋_GB2312"/>
        </w:rPr>
        <w:t>8、投标人关联关系：单位负责人为同一人或者存在直接控股、管理关系的不同投标人，不得参加同一合同项下的投标活动。</w:t>
      </w:r>
    </w:p>
    <w:p>
      <w:pPr>
        <w:pStyle w:val="null3"/>
      </w:pPr>
      <w:r>
        <w:rPr>
          <w:rFonts w:ascii="仿宋_GB2312" w:hAnsi="仿宋_GB2312" w:cs="仿宋_GB2312" w:eastAsia="仿宋_GB2312"/>
        </w:rPr>
        <w:t>9、授权书或法人身份证明：法定代表人授权书及被授权人身份证（法定代表人直接参加磋商的须提供其法定代表人身份证），非法人单位参照执行。</w:t>
      </w:r>
    </w:p>
    <w:p>
      <w:pPr>
        <w:pStyle w:val="null3"/>
      </w:pPr>
      <w:r>
        <w:rPr>
          <w:rFonts w:ascii="仿宋_GB2312" w:hAnsi="仿宋_GB2312" w:cs="仿宋_GB2312" w:eastAsia="仿宋_GB2312"/>
        </w:rPr>
        <w:t>10、非联合体投标：本项目不允许联合体投标，提供非联合体投标承诺。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贺田田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19721968838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13109522910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取。供应商将招标代理服务费计入磋商报价但不单独列明，成交单位在领取成交通知书前，须向采购代理机构一次性支付招标代理服务费；代理服务费以转账、电汇或现金等形式交纳。户名：陕西翰元工程咨询有限公司开户行：中国工商银行股份有限公司西安经济技术开发区支行账号：3700000609200242371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 1、最终成果文件形成前需进行专家评审。 2、主要依据《中华人民共和国政府采购法》《中华人民共和国政府采购法实施条例》《财政部关于进一步加强政府采购需求和履约验收管理的指导意见》（财库〔2016〕205号）及《财政部关于印发〈政府采购需求管理办法〉的通知》（财库〔2021〕22号）》等有关规定制定。须符合国家有关规定、磋商文件的质量要求和技术指标、供应商的响应文件及承诺以及合同条款。 3、项目完成后由供应商进行自检，自检合格后准备验收文件并提出验收申请，采购人同意后，采购人相关部门人员形成验收小组，验收小组根据招标文件、投标文件、合同等相关文件约定内容对项目进行综合验收。供应商要确保项目完成后符合国家、行业等相关标准及规范，同时须符合招标文件要求、投标文件承诺及合同的相关约定。 4、验收依据：招标文件、投标文件、合同文本、符合国家、行业等相关标准、规范。 5、最终成果文件质量验收合格，双方签署成果验收单。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联系电话：13109522910</w:t>
      </w:r>
    </w:p>
    <w:p>
      <w:pPr>
        <w:pStyle w:val="null3"/>
      </w:pPr>
      <w:r>
        <w:rPr>
          <w:rFonts w:ascii="仿宋_GB2312" w:hAnsi="仿宋_GB2312" w:cs="仿宋_GB2312" w:eastAsia="仿宋_GB2312"/>
        </w:rPr>
        <w:t>地址：陕西省西安市浐灞生态区欧亚大道西段666号欧亚国际一期A座1401室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收集资料开展鄠邑区地下水资源调查、水质监测，并在调查评价成果的基础上，编制鄠邑区地下水保护利用规划。</w:t>
      </w:r>
    </w:p>
    <w:p>
      <w:pPr>
        <w:pStyle w:val="null3"/>
        <w:ind w:firstLine="480"/>
        <w:jc w:val="both"/>
      </w:pPr>
      <w:r>
        <w:rPr>
          <w:rFonts w:ascii="仿宋_GB2312" w:hAnsi="仿宋_GB2312" w:cs="仿宋_GB2312" w:eastAsia="仿宋_GB2312"/>
          <w:sz w:val="24"/>
          <w:b/>
        </w:rPr>
        <w:t>（一）鄠邑区地下水资源调查评价主要包括以下内容：</w:t>
      </w:r>
    </w:p>
    <w:tbl>
      <w:tblPr>
        <w:tblW w:w="0" w:type="auto"/>
        <w:tblBorders>
          <w:top w:val="none" w:color="000000" w:sz="4"/>
          <w:left w:val="none" w:color="000000" w:sz="4"/>
          <w:bottom w:val="none" w:color="000000" w:sz="4"/>
          <w:right w:val="none" w:color="000000" w:sz="4"/>
          <w:insideH w:val="none"/>
          <w:insideV w:val="none"/>
        </w:tblBorders>
      </w:tblPr>
      <w:tblGrid>
        <w:gridCol w:w="791"/>
        <w:gridCol w:w="2227"/>
        <w:gridCol w:w="2695"/>
        <w:gridCol w:w="2593"/>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2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2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工作内容</w:t>
            </w:r>
          </w:p>
        </w:tc>
        <w:tc>
          <w:tcPr>
            <w:tcW w:type="dxa" w:w="2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工作量</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资料收集</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成井、动态、规划等</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15份</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地下水资源调查</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1:50000地面调查</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1282km²</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简易抽水试验</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水位水量测量</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10个台班</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水质检测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《地下水质量标准》（</w:t>
            </w:r>
            <w:r>
              <w:rPr>
                <w:rFonts w:ascii="仿宋_GB2312" w:hAnsi="仿宋_GB2312" w:cs="仿宋_GB2312" w:eastAsia="仿宋_GB2312"/>
                <w:sz w:val="24"/>
              </w:rPr>
              <w:t>GB14848-2017）中的基本项目39项。</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15组</w:t>
            </w:r>
          </w:p>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技术工作费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技术工作、报告汇编</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专家评审</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专家评审会</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1项</w:t>
            </w:r>
          </w:p>
        </w:tc>
      </w:tr>
    </w:tbl>
    <w:p>
      <w:pPr>
        <w:pStyle w:val="null3"/>
        <w:jc w:val="both"/>
      </w:pPr>
      <w:r>
        <w:rPr>
          <w:rFonts w:ascii="仿宋_GB2312" w:hAnsi="仿宋_GB2312" w:cs="仿宋_GB2312" w:eastAsia="仿宋_GB2312"/>
          <w:sz w:val="24"/>
        </w:rPr>
        <w:t>全面收集鄠邑区现有地下水资源相关资料，相关规划文件以及生态环境保护等方面的资料，为后续水资源调查评价和规划编制提供基础数据支撑。</w:t>
      </w:r>
    </w:p>
    <w:p>
      <w:pPr>
        <w:pStyle w:val="null3"/>
        <w:ind w:firstLine="480"/>
        <w:jc w:val="both"/>
      </w:pPr>
      <w:r>
        <w:rPr>
          <w:rFonts w:ascii="仿宋_GB2312" w:hAnsi="仿宋_GB2312" w:cs="仿宋_GB2312" w:eastAsia="仿宋_GB2312"/>
          <w:sz w:val="24"/>
        </w:rPr>
        <w:t>地下水资源调查</w:t>
      </w:r>
      <w:r>
        <w:rPr>
          <w:rFonts w:ascii="仿宋_GB2312" w:hAnsi="仿宋_GB2312" w:cs="仿宋_GB2312" w:eastAsia="仿宋_GB2312"/>
          <w:sz w:val="24"/>
        </w:rPr>
        <w:t>采用监测、采样分析等多种手段，对鄠邑区地下水资源的分布、储量、水质、开采利用现状、补给与排泄等情况进行全面、系统的调查。重点查明地下水资源的赋存条件、动态变化规律以及面临的主要问题，如过度开采、水质污染等。</w:t>
      </w:r>
    </w:p>
    <w:p>
      <w:pPr>
        <w:pStyle w:val="null3"/>
        <w:jc w:val="both"/>
      </w:pPr>
      <w:r>
        <w:rPr>
          <w:rFonts w:ascii="仿宋_GB2312" w:hAnsi="仿宋_GB2312" w:cs="仿宋_GB2312" w:eastAsia="仿宋_GB2312"/>
          <w:sz w:val="24"/>
          <w:b/>
        </w:rPr>
        <w:t>（二）鄠邑区地下水保护和利用规划主要包括以下内容：</w:t>
      </w:r>
    </w:p>
    <w:p>
      <w:pPr>
        <w:pStyle w:val="null3"/>
        <w:ind w:firstLine="480"/>
        <w:jc w:val="both"/>
      </w:pPr>
      <w:r>
        <w:rPr>
          <w:rFonts w:ascii="仿宋_GB2312" w:hAnsi="仿宋_GB2312" w:cs="仿宋_GB2312" w:eastAsia="仿宋_GB2312"/>
          <w:sz w:val="24"/>
        </w:rPr>
        <w:t>在地下水资源调查评价成果的基础上，结合鄠邑区经济社会发展规划，统筹考虑生活、生产、生态用水需求，编制鄠邑区地下水保护利用规划。规划将明确地下水资源保护的目标、任务和措施，合理划定地下水开采分区、禁采区和限采区，提出水资源节约、保护和高效利用的具体方案，以及应对水资源短缺和生态环境问题的对策建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水文地质调查：在充分收集资料的基础上，结合鄠邑区水文地质条件复杂程度，选取典型地区典型地貌单元，进行水文地质调查，查明工作区的水文地质、工程地质和环境地质条件。了解含水层的岩性、分布、埋藏深度，以及含水层的渗透性、储水性能等情况。重点关注地下水的类型、赋存状态、补给来源、排泄方式、地表水与地下水的水力联系、地下水水化学特征。</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基础资料的收集</w:t>
      </w:r>
      <w:r>
        <w:rPr>
          <w:rFonts w:ascii="仿宋_GB2312" w:hAnsi="仿宋_GB2312" w:cs="仿宋_GB2312" w:eastAsia="仿宋_GB2312"/>
          <w:sz w:val="24"/>
        </w:rPr>
        <w:t>：包括水文气象、地形地貌及水文地质等；近</w:t>
      </w:r>
      <w:r>
        <w:rPr>
          <w:rFonts w:ascii="仿宋_GB2312" w:hAnsi="仿宋_GB2312" w:cs="仿宋_GB2312" w:eastAsia="仿宋_GB2312"/>
          <w:sz w:val="24"/>
        </w:rPr>
        <w:t>5</w:t>
      </w:r>
      <w:r>
        <w:rPr>
          <w:rFonts w:ascii="仿宋_GB2312" w:hAnsi="仿宋_GB2312" w:cs="仿宋_GB2312" w:eastAsia="仿宋_GB2312"/>
          <w:sz w:val="24"/>
        </w:rPr>
        <w:t>年地下水动态监测资料；鄠邑区社会经济基本情况；鄠邑区近</w:t>
      </w:r>
      <w:r>
        <w:rPr>
          <w:rFonts w:ascii="仿宋_GB2312" w:hAnsi="仿宋_GB2312" w:cs="仿宋_GB2312" w:eastAsia="仿宋_GB2312"/>
          <w:sz w:val="24"/>
        </w:rPr>
        <w:t>5</w:t>
      </w:r>
      <w:r>
        <w:rPr>
          <w:rFonts w:ascii="仿宋_GB2312" w:hAnsi="仿宋_GB2312" w:cs="仿宋_GB2312" w:eastAsia="仿宋_GB2312"/>
          <w:sz w:val="24"/>
        </w:rPr>
        <w:t>年供用水资料及水利工程现状；地下水取水许可登记情况及计量情况；污水处理厂现状、规划情况及相关的规划成果；以往水资源评价成果及相关规划；地下水开发利用中存在问题等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外业工作</w:t>
      </w:r>
      <w:r>
        <w:rPr>
          <w:rFonts w:ascii="仿宋_GB2312" w:hAnsi="仿宋_GB2312" w:cs="仿宋_GB2312" w:eastAsia="仿宋_GB2312"/>
          <w:sz w:val="24"/>
        </w:rPr>
        <w:t>：调查内容主要有机井数量、机井用途、分布区域、井深、结构、单井出水量、地下水埋深、年取水量、单井影响半径，农业机井单井控制面积、生活机井供水人口、计量率、在线计量率等。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内业工作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水资源条件：明确地表水资源量、地下水资源量、水资源总量；地表水可利用量、地下水可开采量、水资源可利用量。明确现状河流水质状况，集中供水水源地水质现状及存在问题。</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）说明区内地下水资源条件，明确区内地下水资源量、地下水可开采量；（</w:t>
      </w:r>
      <w:r>
        <w:rPr>
          <w:rFonts w:ascii="仿宋_GB2312" w:hAnsi="仿宋_GB2312" w:cs="仿宋_GB2312" w:eastAsia="仿宋_GB2312"/>
          <w:sz w:val="24"/>
        </w:rPr>
        <w:t>2</w:t>
      </w:r>
      <w:r>
        <w:rPr>
          <w:rFonts w:ascii="仿宋_GB2312" w:hAnsi="仿宋_GB2312" w:cs="仿宋_GB2312" w:eastAsia="仿宋_GB2312"/>
          <w:sz w:val="24"/>
        </w:rPr>
        <w:t>）分析区内地下水开发利用现状及提出地下水开发利用存在问题；（</w:t>
      </w:r>
      <w:r>
        <w:rPr>
          <w:rFonts w:ascii="仿宋_GB2312" w:hAnsi="仿宋_GB2312" w:cs="仿宋_GB2312" w:eastAsia="仿宋_GB2312"/>
          <w:sz w:val="24"/>
        </w:rPr>
        <w:t>3</w:t>
      </w:r>
      <w:r>
        <w:rPr>
          <w:rFonts w:ascii="仿宋_GB2312" w:hAnsi="仿宋_GB2312" w:cs="仿宋_GB2312" w:eastAsia="仿宋_GB2312"/>
          <w:sz w:val="24"/>
        </w:rPr>
        <w:t>）提出地下水保护利用目标及任务，制定地下水保护利用措施及地下水资源保护利用方案；（</w:t>
      </w:r>
      <w:r>
        <w:rPr>
          <w:rFonts w:ascii="仿宋_GB2312" w:hAnsi="仿宋_GB2312" w:cs="仿宋_GB2312" w:eastAsia="仿宋_GB2312"/>
          <w:sz w:val="24"/>
        </w:rPr>
        <w:t>4</w:t>
      </w:r>
      <w:r>
        <w:rPr>
          <w:rFonts w:ascii="仿宋_GB2312" w:hAnsi="仿宋_GB2312" w:cs="仿宋_GB2312" w:eastAsia="仿宋_GB2312"/>
          <w:sz w:val="24"/>
        </w:rPr>
        <w:t>）提出地下水资源管理措施；（</w:t>
      </w:r>
      <w:r>
        <w:rPr>
          <w:rFonts w:ascii="仿宋_GB2312" w:hAnsi="仿宋_GB2312" w:cs="仿宋_GB2312" w:eastAsia="仿宋_GB2312"/>
          <w:sz w:val="24"/>
        </w:rPr>
        <w:t>5</w:t>
      </w:r>
      <w:r>
        <w:rPr>
          <w:rFonts w:ascii="仿宋_GB2312" w:hAnsi="仿宋_GB2312" w:cs="仿宋_GB2312" w:eastAsia="仿宋_GB2312"/>
          <w:sz w:val="24"/>
        </w:rPr>
        <w:t>）规划实施及效果评估；（</w:t>
      </w:r>
      <w:r>
        <w:rPr>
          <w:rFonts w:ascii="仿宋_GB2312" w:hAnsi="仿宋_GB2312" w:cs="仿宋_GB2312" w:eastAsia="仿宋_GB2312"/>
          <w:sz w:val="24"/>
        </w:rPr>
        <w:t>6</w:t>
      </w:r>
      <w:r>
        <w:rPr>
          <w:rFonts w:ascii="仿宋_GB2312" w:hAnsi="仿宋_GB2312" w:cs="仿宋_GB2312" w:eastAsia="仿宋_GB2312"/>
          <w:sz w:val="24"/>
        </w:rPr>
        <w:t>）环境影响评价；（</w:t>
      </w:r>
      <w:r>
        <w:rPr>
          <w:rFonts w:ascii="仿宋_GB2312" w:hAnsi="仿宋_GB2312" w:cs="仿宋_GB2312" w:eastAsia="仿宋_GB2312"/>
          <w:sz w:val="24"/>
        </w:rPr>
        <w:t>7</w:t>
      </w:r>
      <w:r>
        <w:rPr>
          <w:rFonts w:ascii="仿宋_GB2312" w:hAnsi="仿宋_GB2312" w:cs="仿宋_GB2312" w:eastAsia="仿宋_GB2312"/>
          <w:sz w:val="24"/>
        </w:rPr>
        <w:t>）规划实施的保障措施。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地下水资源调查评价及编制地下水保护利用规划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标的名称：地下水资源调查评价及编制地下水保护利用规划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地下水资源调查：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）了解区域水文地质条件</w:t>
            </w:r>
          </w:p>
          <w:p>
            <w:pPr>
              <w:pStyle w:val="null3"/>
              <w:ind w:firstLine="480"/>
              <w:jc w:val="both"/>
            </w:pPr>
            <w:r>
              <w:rPr>
                <w:rFonts w:ascii="仿宋_GB2312" w:hAnsi="仿宋_GB2312" w:cs="仿宋_GB2312" w:eastAsia="仿宋_GB2312"/>
                <w:sz w:val="24"/>
              </w:rPr>
              <w:t>收集鄠邑区的地质勘查报告、地质图、地层柱状图等，了解区域的地层结构、岩性特征及构造情况。收集区域水文地质调查报告、地下水水位监测数据、水质分析报告、地表水体的水文特征数据等，了解含水层的岩性、分布、埋藏深度，以及含水层的渗透性、储水性能等情况。重点关注地下水的类型、赋存状态、补给来源、排泄方式、地表水与地下水的水力联系、地下水水化学特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）调查区域地下水开发利用现状及地下水开采引起的环境地质问题</w:t>
            </w:r>
          </w:p>
          <w:p>
            <w:pPr>
              <w:pStyle w:val="null3"/>
              <w:ind w:firstLine="480"/>
              <w:jc w:val="both"/>
            </w:pPr>
            <w:r>
              <w:rPr>
                <w:rFonts w:ascii="仿宋_GB2312" w:hAnsi="仿宋_GB2312" w:cs="仿宋_GB2312" w:eastAsia="仿宋_GB2312"/>
                <w:sz w:val="24"/>
              </w:rPr>
              <w:t>调查区域内地下水不同类型开采井（如农用井、工业井、生活井）的分布情况；各开采井的实际开采量、开采时段，以及多年开采量的变化趋势数据，明确地下水开采的空间和时间特征；调查区域地面沉降、地裂缝的环境地质问题的分布情况；了解生活用水、生产用水、生态用水中地下水的占比数据，各行业的地下水用水量及用水效率指标，掌握地下水在不同领域的消耗情况。分析区域地下水水资源开发利用现状。在此基础上分析区域地下水水位埋深的变化情况。基于地下水开采量、开采强度数据，结合区域地质资料，分析开采活动与地面沉降、地裂缝、水位下降等环境问题的关联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）分析地下水水质现状及污染情况</w:t>
            </w:r>
          </w:p>
          <w:p>
            <w:pPr>
              <w:pStyle w:val="null3"/>
              <w:ind w:firstLine="480"/>
              <w:jc w:val="both"/>
            </w:pPr>
            <w:r>
              <w:rPr>
                <w:rFonts w:ascii="仿宋_GB2312" w:hAnsi="仿宋_GB2312" w:cs="仿宋_GB2312" w:eastAsia="仿宋_GB2312"/>
                <w:sz w:val="24"/>
              </w:rPr>
              <w:t>根据收集或检测的水质数据（《地下水质量标准》（</w:t>
            </w:r>
            <w:r>
              <w:rPr>
                <w:rFonts w:ascii="仿宋_GB2312" w:hAnsi="仿宋_GB2312" w:cs="仿宋_GB2312" w:eastAsia="仿宋_GB2312"/>
                <w:sz w:val="24"/>
              </w:rPr>
              <w:t>GB14848-2017</w:t>
            </w:r>
            <w:r>
              <w:rPr>
                <w:rFonts w:ascii="仿宋_GB2312" w:hAnsi="仿宋_GB2312" w:cs="仿宋_GB2312" w:eastAsia="仿宋_GB2312"/>
                <w:sz w:val="24"/>
              </w:rPr>
              <w:t>）中的基本项目</w:t>
            </w:r>
            <w:r>
              <w:rPr>
                <w:rFonts w:ascii="仿宋_GB2312" w:hAnsi="仿宋_GB2312" w:cs="仿宋_GB2312" w:eastAsia="仿宋_GB2312"/>
                <w:sz w:val="24"/>
              </w:rPr>
              <w:t>39</w:t>
            </w:r>
            <w:r>
              <w:rPr>
                <w:rFonts w:ascii="仿宋_GB2312" w:hAnsi="仿宋_GB2312" w:cs="仿宋_GB2312" w:eastAsia="仿宋_GB2312"/>
                <w:sz w:val="24"/>
              </w:rPr>
              <w:t>项）。分析区域地下水水质现状及污染情况。将检测的水质数据与《地下水质量标准》（</w:t>
            </w:r>
            <w:r>
              <w:rPr>
                <w:rFonts w:ascii="仿宋_GB2312" w:hAnsi="仿宋_GB2312" w:cs="仿宋_GB2312" w:eastAsia="仿宋_GB2312"/>
                <w:sz w:val="24"/>
              </w:rPr>
              <w:t>GB/T14848-2017</w:t>
            </w:r>
            <w:r>
              <w:rPr>
                <w:rFonts w:ascii="仿宋_GB2312" w:hAnsi="仿宋_GB2312" w:cs="仿宋_GB2312" w:eastAsia="仿宋_GB2312"/>
                <w:sz w:val="24"/>
              </w:rPr>
              <w:t>）进行比对，确定水质类别，划明晰水质现状的空间分布特征。对比不同时期的水质数据，分析各类指标的变化趋势，统计超标指标的种类和超标率，确定主要污染物。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）计算地下水资源量及可开采量</w:t>
            </w:r>
          </w:p>
          <w:p>
            <w:pPr>
              <w:pStyle w:val="null3"/>
            </w:pPr>
            <w:r>
              <w:rPr>
                <w:rFonts w:ascii="仿宋_GB2312" w:hAnsi="仿宋_GB2312" w:cs="仿宋_GB2312" w:eastAsia="仿宋_GB2312"/>
                <w:sz w:val="24"/>
              </w:rPr>
              <w:t>明确区域地下水补给来源（如大气降水、渠系渗漏、灌溉入渗等）与排泄方式（如蒸发、人工开采等），依据水均衡原理，采用补给法或排泄法计算地下水资源量；运用开采系数法、水均衡法、实际开采量调查法、动态规划法等测算地下水可开采量。进而结合地下水资源量、可开采量及现状开采量，分析区域地下水开发利用潜力及供需平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地下水保护和利用规划编制：</w:t>
            </w:r>
          </w:p>
          <w:p>
            <w:pPr>
              <w:pStyle w:val="null3"/>
              <w:ind w:firstLine="480"/>
              <w:jc w:val="both"/>
            </w:pPr>
            <w:r>
              <w:rPr>
                <w:rFonts w:ascii="仿宋_GB2312" w:hAnsi="仿宋_GB2312" w:cs="仿宋_GB2312" w:eastAsia="仿宋_GB2312"/>
                <w:sz w:val="24"/>
              </w:rPr>
              <w:t>根据服务内容（水文地质调查、基础资料收集、外业工作、内业工作）等进行地下水调查评价，并在此基础上编制地下水保护和利用规划，出具成果及相关的附表、附图、支撑材料。最终成果文件形成前需进行专家评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明确规划目标：结合地下水资源调查分析结果，设定阶段性和总体目标。短期目标可聚焦解决当前突出问题，如控制超采区开采量、改善重点区域水质；长期目标则以实现地下水资源可持续利用为核心，同时与鄠邑区经济社会发展规划相衔接，确保水资源保障与区域发展相匹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）划分保护利用分区：依据地下水资源潜力、水文地质条件及生态环境敏感性，划定不同功能分区，如：开采区、保护区、储备区等。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）制定地下水保护方案：针对水质和水位问题为不同保护分区提出针对性的保护措施及建议。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制定地下水开发利用规划。地下水开发利用需坚守“保护优先、合理开发”原则，以可持续利用为核心目标。针对性提供水资源节约及高效利用方案。划定可开采区、禁采区、限采区。同时，根据鄠邑区经济社会发展规划，预测用水需求，合理安排开采量，使开发利用与区域发展相适应，提高资源利用效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rPr>
              <w:t>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）顺序执行：国家标准→行业标准（有国家标准按国家标准执行，没有国家标准按行业标准执行）。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专业技术人员配置合理，对工作有有效支撑、岗位职责明确清晰得，满足项目需求。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根据采购人要求完成与项目有关的其他事项。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1、最终成果文件形成前需进行专家评审。 2、主要依据《中华人民共和国政府采购法》《中华人民共和国政府采购法实施条例》《财政部关于进一步加强政府采购需求和履约验收管理的指导意见》（财库〔2016〕205号）及《财政部关于印发〈政府采购需求管理办法〉的通知》（财库〔2021〕22号）》等有关规定制定。须符合国家有关规定、磋商文件的质量要求和技术指标、供应商的响应文件及承诺以及合同条款。 3、项目完成后由供应商进行自检，自检合格后准备验收文件并提出验收申请，采购人同意后，采购人相关部门人员形成验收小组，验收小组根据招标文件、投标文件、合同等相关文件约定内容对项目进行综合验收。供应商要确保项目完成后符合国家、行业等相关标准及规范，同时须符合招标文件要求、投标文件承诺及合同的相关约定。 4、验收依据：招标文件、投标文件、合同文本、符合国家、行业等相关标准、规范。 5、最终成果文件质量验收合格，双方签署成果验收单。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成果提交后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完成所有合同内容且验收合格后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1、本合同履行过程中，由于一方当事人违反本合同，给另一方当事人造成损失的，另一方当事人有权获得赔偿。 2、甲方因未履行义务，造成工作延期及相关损失由甲方负责。 3、乙方在规定的期限内未完成工作任务、未按规定的工作质量要求进行工作，应采取补救措施，返工或修改完善，直至达到本合同约定的质量要求，工期不予顺延，每逾期一日，应按照合同总价款的1‰承担违约金。因此给甲方造成损失的，乙方应对直接损失负赔偿责任。 具体以签订合同为准。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提供2023年度或2024年度的财务审计报告或投标文件截止时间前六个月内其基本账户开户银行出具的资信证明（附基本存款账户信息）。供应商需在项目电子化交易系统中按要求上传相应证明文件并进行电子签章。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提供2023年度或2024年度的财务审计报告或投标文件截止时间前六个月内其基本账户开户银行出具的资信证明（附基本存款账户信息）。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提供投标文件递交截止时间前近六个月任意时段已缴纳完税凭证或税务机关开具的完税证明（任意税种）；依法免税的应提供相关文件证明。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提供投标文件递交截止时间前近六个月任意时段已缴纳的社会保障资金缴存单据或社保机构开具的社会保险参保缴费情况证明；依法不需要缴纳社会保障资金的应提供相关文件证明。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信用要求：未被列入“信用中国”网站（www.creditchina.gov.cn）、“中国政府采购网”网站（www.ccgp.gov.cn）失信被执行人名单、重大税收违法案件当事人名单、政府采购严重违法失信行为记录名单。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授权书或法人身份证明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本项目不允许联合体投标，提供非联合体投标承诺。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供应商名称和公章、营业执照等一致。</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（3）未超出最高限价 （4）符合报价一览表的填表要求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投标文件上法定代表人/负责人或被授权人的签字或盖章齐全并加盖公章。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要求采购内容及要求、商务条款全部响应，不能有采购人不能接受的附加条件。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提供针对本项目的项目背景和政策研究，包括①项目背景分析；②前期项目资料收集；③针对本项目政策的研究等。 一、评审标准：1.完整性：项目背景和政策研究分析全面具体，对本项目重点、难点把控明确，有详细描述及说明；2.可实施性：切合本项目实际情况，实施步骤清晰、合理；3.针对性：项目背景和政策研究能够紧扣项目实际情况，内容科学合理。 二、赋分标准： 1.以上内容每包含一项内容，得2分，满分6分； 2.根据评审标准按提供的具体内容的完整性、可实施性、针对性横向对比得0-4分；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总体编制和实施技术方案</w:t>
            </w:r>
          </w:p>
        </w:tc>
        <w:tc>
          <w:tcPr>
            <w:tcW w:type="dxa" w:w="2492"/>
          </w:tcPr>
          <w:p>
            <w:pPr>
              <w:pStyle w:val="null3"/>
            </w:pPr>
            <w:r>
              <w:rPr>
                <w:rFonts w:ascii="仿宋_GB2312" w:hAnsi="仿宋_GB2312" w:cs="仿宋_GB2312" w:eastAsia="仿宋_GB2312"/>
              </w:rPr>
              <w:t>提供针对本项目的编制思路及工作方案，包括①整体工作目标；②工作思路；③规划技术实施方案；④内容重点及成果形式。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 1.以上内容每包含一项内容，得3分，满分12分； 2.根据评审标准按提供的具体内容的完整性、可实施性、针对性横向对比得0-8分； 3.未提供不得分。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提供针对本项目的质量保证措施，包含①项目质量保障体系；②项目整体质量管控要求；③成果文件的质量保证措施。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1.以上内容每包含一项内容，得3分，满分9分； 2.根据评审标准按提供的具体内容的完整性、可实施性、针对性横向对比得0-7分； 3.未提供不得分。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1.每提供1人得1分，满分5分； 2.拟派项目负责人具有相关专业（包含但不限于水文、环境、水利、地质、勘察等）高级职称的得1分； 3.项目组成员具有相关专业的证书，每提供1名得1分，满分4分； 4.根据项目组提供的人员资料（包括不限于职称证书、毕业证、合同等资料）横向对比得0-4分。 5.以供应商响应文件中所附的人员证书复印件为准，不提供则不得分。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针对本项目具有明确的服务保证措施及承诺：包含①服务承诺；②服务保证措施；③进度控制措施及承诺。 一、评审标准：1.完整性：服务保证措施及承诺全面具体，有详细描述及说明；2.可实施性：切合本项目实际情况，实施步骤清晰、合理；3.针对性：服务保证措施及承诺能够紧扣项目实际情况，内容科学合理。 二、赋分标准： 1.以上内容每包含一项内容，得3分，满分9分； 2.根据评审标准按提供的具体内容的完整性、可实施性、针对性横向对比得0-7分； 3.未提供不得分。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重点、难点分析及应对策略</w:t>
            </w:r>
          </w:p>
        </w:tc>
        <w:tc>
          <w:tcPr>
            <w:tcW w:type="dxa" w:w="2492"/>
          </w:tcPr>
          <w:p>
            <w:pPr>
              <w:pStyle w:val="null3"/>
            </w:pPr>
            <w:r>
              <w:rPr>
                <w:rFonts w:ascii="仿宋_GB2312" w:hAnsi="仿宋_GB2312" w:cs="仿宋_GB2312" w:eastAsia="仿宋_GB2312"/>
              </w:rPr>
              <w:t>针对本项目的理解程度，对项目的重点、难点进行分析并提出应对策略。 一、评审标准：1.完整性：合理化建议全面具体，有详细描述及说明；2.可实施性：切合本项目实际情况，实施步骤清晰、合理。 二、赋分标准： 1.根据评审标准按提供的具体内容的完整性、可实施性横向对比得0-5分。 2.未提供不得分。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提供投标文件递交截止时间前近5年，供应商承担过类似项目业绩，一个项目得2分,此项最多得4分。注：以合同协议书或中标通知书复印件为准，加盖公章。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