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版本号：JXD2026-ZCHY-020420260205001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2025年西安市鄠邑区五竹街道农业废弃物循环利用试点项目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JXD2026-ZCHY-0204</w:t>
      </w:r>
      <w:r>
        <w:br/>
      </w:r>
      <w:r>
        <w:br/>
      </w:r>
      <w:r>
        <w:br/>
      </w:r>
    </w:p>
    <w:p>
      <w:pPr>
        <w:pStyle w:val="null3"/>
        <w:jc w:val="center"/>
        <w:outlineLvl w:val="2"/>
      </w:pPr>
      <w:r>
        <w:rPr>
          <w:rFonts w:ascii="仿宋_GB2312" w:hAnsi="仿宋_GB2312" w:cs="仿宋_GB2312" w:eastAsia="仿宋_GB2312"/>
          <w:sz w:val="28"/>
          <w:b/>
        </w:rPr>
        <w:t>西安市鄠邑区五竹街道办事处</w:t>
      </w:r>
    </w:p>
    <w:p>
      <w:pPr>
        <w:pStyle w:val="null3"/>
        <w:jc w:val="center"/>
        <w:outlineLvl w:val="2"/>
      </w:pPr>
      <w:r>
        <w:rPr>
          <w:rFonts w:ascii="仿宋_GB2312" w:hAnsi="仿宋_GB2312" w:cs="仿宋_GB2312" w:eastAsia="仿宋_GB2312"/>
          <w:sz w:val="28"/>
          <w:b/>
        </w:rPr>
        <w:t>陕西钜信达工程项目管理有限公司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陕西钜信达工程项目管理有限公司</w:t>
      </w:r>
      <w:r>
        <w:rPr>
          <w:rFonts w:ascii="仿宋_GB2312" w:hAnsi="仿宋_GB2312" w:cs="仿宋_GB2312" w:eastAsia="仿宋_GB2312"/>
        </w:rPr>
        <w:t>（以下简称“代理机构”）受</w:t>
      </w:r>
      <w:r>
        <w:rPr>
          <w:rFonts w:ascii="仿宋_GB2312" w:hAnsi="仿宋_GB2312" w:cs="仿宋_GB2312" w:eastAsia="仿宋_GB2312"/>
        </w:rPr>
        <w:t>西安市鄠邑区五竹街道办事处</w:t>
      </w:r>
      <w:r>
        <w:rPr>
          <w:rFonts w:ascii="仿宋_GB2312" w:hAnsi="仿宋_GB2312" w:cs="仿宋_GB2312" w:eastAsia="仿宋_GB2312"/>
        </w:rPr>
        <w:t>委托，拟对</w:t>
      </w:r>
      <w:r>
        <w:rPr>
          <w:rFonts w:ascii="仿宋_GB2312" w:hAnsi="仿宋_GB2312" w:cs="仿宋_GB2312" w:eastAsia="仿宋_GB2312"/>
        </w:rPr>
        <w:t>2025年西安市鄠邑区五竹街道农业废弃物循环利用试点项目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JXD2026-ZCHY-0204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2025年西安市鄠邑区五竹街道农业废弃物循环利用试点项目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市鄠邑区五竹街道总面积36平方公里，下辖22个行政村，耕地面积耕地面积4万余亩。按照西安市农业农村局关于印发《西安市整域推进农业废弃物循环利用试点项目实施方案》的工作要求，拟在全街道22个行政村范围内，推进农业废弃物循环利用。</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采购包1（2025年西安市鄠邑区五竹街道农业废弃物循环利用试点项目）：属于专门面向中小企业采购。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①如法定代表人参加投标，应出具《法定代表人身份证明书》及本人有效身份证件，其信息须与供应商营业执照登记的法定代表人信息一致；②如由授权代表参加投标，应出具《法定代表人授权委托书》、法定代表人及被授权人本人有效身份证件，授权书中应明确授权范围、期限及项目名称。</w:t>
      </w:r>
    </w:p>
    <w:p>
      <w:pPr>
        <w:pStyle w:val="null3"/>
      </w:pPr>
      <w:r>
        <w:rPr>
          <w:rFonts w:ascii="仿宋_GB2312" w:hAnsi="仿宋_GB2312" w:cs="仿宋_GB2312" w:eastAsia="仿宋_GB2312"/>
        </w:rPr>
        <w:t>2、信用记录：供应商不得为“信用中国”网站（www.creditchi na.gov.cn）中列入失信被执行人和重大税收违法失信主体名单的供应商，不得为中国政府采购网（www.ccgp.gov.cn）政府采购严重违法失信行为记录名单中被财政部门禁止参加政府采购活动的供应商。 投标人通过“信用中国”网站(www.creditchina.gov.cn)和中国政府采购网(www.ccgp.gov.cn) 查询相关主体信用记录，查询节点应在采购文件获取期至投标文件递交截止时间之间。（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p>
      <w:pPr>
        <w:pStyle w:val="null3"/>
      </w:pPr>
      <w:r>
        <w:rPr>
          <w:rFonts w:ascii="仿宋_GB2312" w:hAnsi="仿宋_GB2312" w:cs="仿宋_GB2312" w:eastAsia="仿宋_GB2312"/>
        </w:rPr>
        <w:t>3、不接受联合体投标：本项目不接受联合体投标(投标主体为单一供应商)。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西安市鄠邑区五竹街道办事处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 xml:space="preserve"> 西安市鄠邑区五竹街道大庞路北段3号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029-84980240</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陕西钜信达工程项目管理有限公司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西安市雁塔区雁翔路 111 号中京坊公寓 B 座 623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029-82292656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鄠邑区政府采购管理股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李清维</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029-84882872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单排座轻型栏板卡车</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代理服务费收费标准：参照国家计委关于印发《招标代理服务收费管理暂行办法》的通知（计价格〔2002〕1980号）相关要求收取。 缴纳方式：采用现金或转账方式缴纳（账号信息如下）。 账户名称: 陕西钜信达工程项目管理有限公司西安第一分公司 账号：129918351510001 开户行：招商银行股份有限公司西安西影路支行 转账事由： （项目简称或项目编号） 项目服务费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西安市鄠邑区五竹街道办事处</w:t>
      </w:r>
      <w:r>
        <w:rPr>
          <w:rFonts w:ascii="仿宋_GB2312" w:hAnsi="仿宋_GB2312" w:cs="仿宋_GB2312" w:eastAsia="仿宋_GB2312"/>
        </w:rPr>
        <w:t>和</w:t>
      </w:r>
      <w:r>
        <w:rPr>
          <w:rFonts w:ascii="仿宋_GB2312" w:hAnsi="仿宋_GB2312" w:cs="仿宋_GB2312" w:eastAsia="仿宋_GB2312"/>
        </w:rPr>
        <w:t>陕西钜信达工程项目管理有限公司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西安市鄠邑区五竹街道办事处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陕西钜信达工程项目管理有限公司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西安市鄠邑区五竹街道办事处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陕西钜信达工程项目管理有限公司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满足现行的国家标准或国家行政部门颁布的法律法规、规章制度及采购需求。</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陕西钜信达工程项目管理有限公司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陕西钜信达工程项目管理有限公司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陕西钜信达工程项目管理有限公司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联系人：王春</w:t>
      </w:r>
    </w:p>
    <w:p>
      <w:pPr>
        <w:pStyle w:val="null3"/>
      </w:pPr>
      <w:r>
        <w:rPr>
          <w:rFonts w:ascii="仿宋_GB2312" w:hAnsi="仿宋_GB2312" w:cs="仿宋_GB2312" w:eastAsia="仿宋_GB2312"/>
        </w:rPr>
        <w:t>联系电话：029-82292656</w:t>
      </w:r>
    </w:p>
    <w:p>
      <w:pPr>
        <w:pStyle w:val="null3"/>
      </w:pPr>
      <w:r>
        <w:rPr>
          <w:rFonts w:ascii="仿宋_GB2312" w:hAnsi="仿宋_GB2312" w:cs="仿宋_GB2312" w:eastAsia="仿宋_GB2312"/>
        </w:rPr>
        <w:t>地址：西安市雁塔区雁翔路 111 号中京坊公寓 B 座 623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鄠邑区五竹街道总面积36平方公里，下辖22个行政村，耕地面积耕地面积4万余亩。按照西安市农业农村局关于印发《西安市整域推进农业废弃物循环利用试点项目实施方案》的工作要求，拟在全街道22个行政村范围内，推进农业废弃物循环利用。</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2025年西安市鄠邑区五竹街道农业废弃物循环利用试点项目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农、林、牧、渔业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标的名称：2025年西安市鄠邑区五竹街道农业废弃物循环利用试点项目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b/>
                <w:color w:val="0C0C0C"/>
              </w:rPr>
              <w:t>一、</w:t>
            </w:r>
            <w:r>
              <w:rPr>
                <w:rFonts w:ascii="仿宋_GB2312" w:hAnsi="仿宋_GB2312" w:cs="仿宋_GB2312" w:eastAsia="仿宋_GB2312"/>
                <w:sz w:val="22"/>
                <w:b/>
                <w:color w:val="0C0C0C"/>
              </w:rPr>
              <w:t>服务内容：</w:t>
            </w:r>
          </w:p>
          <w:p>
            <w:pPr>
              <w:pStyle w:val="null3"/>
            </w:pPr>
            <w:r>
              <w:rPr>
                <w:rFonts w:ascii="仿宋_GB2312" w:hAnsi="仿宋_GB2312" w:cs="仿宋_GB2312" w:eastAsia="仿宋_GB2312"/>
                <w:sz w:val="20"/>
                <w:color w:val="0C0C0C"/>
              </w:rPr>
              <w:t>（一）建设地点：</w:t>
            </w:r>
          </w:p>
          <w:p>
            <w:pPr>
              <w:pStyle w:val="null3"/>
            </w:pPr>
            <w:r>
              <w:rPr>
                <w:rFonts w:ascii="仿宋_GB2312" w:hAnsi="仿宋_GB2312" w:cs="仿宋_GB2312" w:eastAsia="仿宋_GB2312"/>
                <w:sz w:val="20"/>
                <w:color w:val="0C0C0C"/>
              </w:rPr>
              <w:t>西安市鄠邑区五竹街道辖区内。</w:t>
            </w:r>
          </w:p>
          <w:p>
            <w:pPr>
              <w:pStyle w:val="null3"/>
            </w:pPr>
            <w:r>
              <w:rPr>
                <w:rFonts w:ascii="仿宋_GB2312" w:hAnsi="仿宋_GB2312" w:cs="仿宋_GB2312" w:eastAsia="仿宋_GB2312"/>
                <w:sz w:val="20"/>
                <w:color w:val="0C0C0C"/>
              </w:rPr>
              <w:t>（二）建设内容：</w:t>
            </w:r>
          </w:p>
          <w:p>
            <w:pPr>
              <w:pStyle w:val="null3"/>
            </w:pPr>
            <w:r>
              <w:rPr>
                <w:rFonts w:ascii="仿宋_GB2312" w:hAnsi="仿宋_GB2312" w:cs="仿宋_GB2312" w:eastAsia="仿宋_GB2312"/>
                <w:sz w:val="20"/>
                <w:color w:val="0C0C0C"/>
              </w:rPr>
              <w:t>1、建设“前端”收集贮存体系</w:t>
            </w:r>
          </w:p>
          <w:p>
            <w:pPr>
              <w:pStyle w:val="null3"/>
              <w:ind w:firstLine="400"/>
            </w:pPr>
            <w:r>
              <w:rPr>
                <w:rFonts w:ascii="仿宋_GB2312" w:hAnsi="仿宋_GB2312" w:cs="仿宋_GB2312" w:eastAsia="仿宋_GB2312"/>
                <w:sz w:val="20"/>
                <w:color w:val="0C0C0C"/>
              </w:rPr>
              <w:t>①购置2辆物料粉碎车；2辆单排座轻型栏板卡车；6 辆树枝粉碎收集三轮车，在各村之间流动收集农业废弃物。</w:t>
            </w:r>
          </w:p>
          <w:p>
            <w:pPr>
              <w:pStyle w:val="null3"/>
              <w:ind w:firstLine="400"/>
            </w:pPr>
            <w:r>
              <w:rPr>
                <w:rFonts w:ascii="仿宋_GB2312" w:hAnsi="仿宋_GB2312" w:cs="仿宋_GB2312" w:eastAsia="仿宋_GB2312"/>
                <w:sz w:val="20"/>
                <w:color w:val="0C0C0C"/>
              </w:rPr>
              <w:t>②组织宣传活动5场；对22个行政村农废培训活动5场；制作农业废弃物分类堆放、利用等知识宣传手册 5000份；系统化宣传，微信等推广制作，宣传视频不少于3个；制作宣传横幅 200条；购买围裙、洗洁精等用于与农户置换农业废弃物的各类生活用品3000件；制作制度牌、标识牌；新建10个集中收集点。</w:t>
            </w:r>
          </w:p>
          <w:p>
            <w:pPr>
              <w:pStyle w:val="null3"/>
            </w:pPr>
            <w:r>
              <w:rPr>
                <w:rFonts w:ascii="仿宋_GB2312" w:hAnsi="仿宋_GB2312" w:cs="仿宋_GB2312" w:eastAsia="仿宋_GB2312"/>
                <w:sz w:val="20"/>
                <w:color w:val="0C0C0C"/>
              </w:rPr>
              <w:t>2、建设“中端”统一转运体系</w:t>
            </w:r>
          </w:p>
          <w:p>
            <w:pPr>
              <w:pStyle w:val="null3"/>
              <w:ind w:firstLine="400"/>
            </w:pPr>
            <w:r>
              <w:rPr>
                <w:rFonts w:ascii="仿宋_GB2312" w:hAnsi="仿宋_GB2312" w:cs="仿宋_GB2312" w:eastAsia="仿宋_GB2312"/>
                <w:sz w:val="20"/>
                <w:color w:val="0C0C0C"/>
              </w:rPr>
              <w:t>①收集、转运畜禽粪污 500 吨。</w:t>
            </w:r>
          </w:p>
          <w:p>
            <w:pPr>
              <w:pStyle w:val="null3"/>
              <w:ind w:firstLine="400"/>
            </w:pPr>
            <w:r>
              <w:rPr>
                <w:rFonts w:ascii="仿宋_GB2312" w:hAnsi="仿宋_GB2312" w:cs="仿宋_GB2312" w:eastAsia="仿宋_GB2312"/>
                <w:sz w:val="20"/>
                <w:color w:val="0C0C0C"/>
              </w:rPr>
              <w:t>②收集、转运农作物秸秆等农业废弃物 3500吨。</w:t>
            </w:r>
          </w:p>
          <w:p>
            <w:pPr>
              <w:pStyle w:val="null3"/>
              <w:jc w:val="both"/>
            </w:pPr>
            <w:r>
              <w:rPr>
                <w:rFonts w:ascii="仿宋_GB2312" w:hAnsi="仿宋_GB2312" w:cs="仿宋_GB2312" w:eastAsia="仿宋_GB2312"/>
                <w:sz w:val="22"/>
                <w:b/>
                <w:color w:val="0C0C0C"/>
              </w:rPr>
              <w:t>二、技术要求</w:t>
            </w:r>
          </w:p>
          <w:p>
            <w:pPr>
              <w:pStyle w:val="null3"/>
              <w:ind w:firstLine="200"/>
              <w:jc w:val="both"/>
            </w:pPr>
            <w:r>
              <w:rPr>
                <w:rFonts w:ascii="仿宋_GB2312" w:hAnsi="仿宋_GB2312" w:cs="仿宋_GB2312" w:eastAsia="仿宋_GB2312"/>
                <w:sz w:val="20"/>
                <w:color w:val="0C0C0C"/>
              </w:rPr>
              <w:t>（一）农业废弃物循环利用整体服务技术要求</w:t>
            </w:r>
          </w:p>
          <w:p>
            <w:pPr>
              <w:pStyle w:val="null3"/>
              <w:ind w:firstLine="400"/>
              <w:jc w:val="both"/>
            </w:pPr>
            <w:r>
              <w:rPr>
                <w:rFonts w:ascii="仿宋_GB2312" w:hAnsi="仿宋_GB2312" w:cs="仿宋_GB2312" w:eastAsia="仿宋_GB2312"/>
                <w:sz w:val="20"/>
                <w:color w:val="0C0C0C"/>
              </w:rPr>
              <w:t>1.</w:t>
            </w:r>
            <w:r>
              <w:rPr>
                <w:rFonts w:ascii="仿宋_GB2312" w:hAnsi="仿宋_GB2312" w:cs="仿宋_GB2312" w:eastAsia="仿宋_GB2312"/>
                <w:sz w:val="20"/>
                <w:color w:val="0C0C0C"/>
              </w:rPr>
              <w:t>资源化利用：采用先进的技术和工艺，将农林废弃物转化为有价值的资源，如有机肥、生物质能源等，实现资源的循环利用。</w:t>
            </w:r>
          </w:p>
          <w:p>
            <w:pPr>
              <w:pStyle w:val="null3"/>
              <w:ind w:firstLine="400"/>
              <w:jc w:val="both"/>
            </w:pPr>
            <w:r>
              <w:rPr>
                <w:rFonts w:ascii="仿宋_GB2312" w:hAnsi="仿宋_GB2312" w:cs="仿宋_GB2312" w:eastAsia="仿宋_GB2312"/>
                <w:sz w:val="20"/>
                <w:color w:val="0C0C0C"/>
              </w:rPr>
              <w:t>2.</w:t>
            </w:r>
            <w:r>
              <w:rPr>
                <w:rFonts w:ascii="仿宋_GB2312" w:hAnsi="仿宋_GB2312" w:cs="仿宋_GB2312" w:eastAsia="仿宋_GB2312"/>
                <w:sz w:val="20"/>
                <w:color w:val="0C0C0C"/>
              </w:rPr>
              <w:t>无害化处理：在处理过程中，确保不会对环境造成污染，不会对人体健康产生危害。对于畜禽粪污等废弃物，进行严格的消毒和无害化处理，防止病菌的传播。</w:t>
            </w:r>
          </w:p>
          <w:p>
            <w:pPr>
              <w:pStyle w:val="null3"/>
              <w:ind w:firstLine="400"/>
              <w:jc w:val="both"/>
            </w:pPr>
            <w:r>
              <w:rPr>
                <w:rFonts w:ascii="仿宋_GB2312" w:hAnsi="仿宋_GB2312" w:cs="仿宋_GB2312" w:eastAsia="仿宋_GB2312"/>
                <w:sz w:val="20"/>
                <w:color w:val="0C0C0C"/>
              </w:rPr>
              <w:t>3.</w:t>
            </w:r>
            <w:r>
              <w:rPr>
                <w:rFonts w:ascii="仿宋_GB2312" w:hAnsi="仿宋_GB2312" w:cs="仿宋_GB2312" w:eastAsia="仿宋_GB2312"/>
                <w:sz w:val="20"/>
                <w:color w:val="0C0C0C"/>
              </w:rPr>
              <w:t>高效利用：提高处理效率，降低处理成本，确保处理后的废弃物能够得到充分利用，实现经济效益和环境效益的双赢。</w:t>
            </w:r>
          </w:p>
          <w:p>
            <w:pPr>
              <w:pStyle w:val="null3"/>
              <w:ind w:firstLine="200"/>
              <w:jc w:val="both"/>
            </w:pPr>
            <w:r>
              <w:rPr>
                <w:rFonts w:ascii="仿宋_GB2312" w:hAnsi="仿宋_GB2312" w:cs="仿宋_GB2312" w:eastAsia="仿宋_GB2312"/>
                <w:sz w:val="20"/>
                <w:color w:val="0C0C0C"/>
              </w:rPr>
              <w:t>（二）采购车辆技术参数</w:t>
            </w:r>
          </w:p>
          <w:tbl>
            <w:tblPr>
              <w:tblBorders>
                <w:top w:val="single"/>
                <w:left w:val="single"/>
                <w:bottom w:val="single"/>
                <w:right w:val="single"/>
                <w:insideH w:val="single"/>
                <w:insideV w:val="single"/>
              </w:tblBorders>
            </w:tblPr>
            <w:tblGrid>
              <w:gridCol w:w="511"/>
              <w:gridCol w:w="511"/>
              <w:gridCol w:w="511"/>
              <w:gridCol w:w="511"/>
              <w:gridCol w:w="511"/>
            </w:tblGrid>
            <w:tr>
              <w:tc>
                <w:tcPr>
                  <w:tcW w:type="dxa" w:w="511"/>
                </w:tcPr>
                <w:p>
                  <w:pPr>
                    <w:pStyle w:val="null3"/>
                    <w:jc w:val="both"/>
                  </w:pPr>
                  <w:r>
                    <w:rPr>
                      <w:rFonts w:ascii="仿宋_GB2312" w:hAnsi="仿宋_GB2312" w:cs="仿宋_GB2312" w:eastAsia="仿宋_GB2312"/>
                      <w:sz w:val="20"/>
                      <w:color w:val="0C0C0C"/>
                    </w:rPr>
                    <w:t>单位</w:t>
                  </w:r>
                </w:p>
              </w:tc>
              <w:tc>
                <w:tcPr>
                  <w:tcW w:type="dxa" w:w="511"/>
                </w:tcPr>
                <w:p>
                  <w:pPr>
                    <w:pStyle w:val="null3"/>
                    <w:jc w:val="both"/>
                  </w:pPr>
                  <w:r>
                    <w:rPr>
                      <w:rFonts w:ascii="仿宋_GB2312" w:hAnsi="仿宋_GB2312" w:cs="仿宋_GB2312" w:eastAsia="仿宋_GB2312"/>
                      <w:sz w:val="20"/>
                      <w:color w:val="0C0C0C"/>
                    </w:rPr>
                    <w:t>数量</w:t>
                  </w:r>
                </w:p>
              </w:tc>
              <w:tc>
                <w:tcPr>
                  <w:tcW w:type="dxa" w:w="511"/>
                </w:tcPr>
                <w:p>
                  <w:pPr>
                    <w:pStyle w:val="null3"/>
                    <w:jc w:val="both"/>
                  </w:pPr>
                  <w:r>
                    <w:rPr>
                      <w:rFonts w:ascii="仿宋_GB2312" w:hAnsi="仿宋_GB2312" w:cs="仿宋_GB2312" w:eastAsia="仿宋_GB2312"/>
                      <w:sz w:val="20"/>
                      <w:color w:val="0C0C0C"/>
                    </w:rPr>
                    <w:t>名称</w:t>
                  </w:r>
                </w:p>
              </w:tc>
              <w:tc>
                <w:tcPr>
                  <w:tcW w:type="dxa" w:w="511"/>
                </w:tcPr>
                <w:p>
                  <w:pPr>
                    <w:pStyle w:val="null3"/>
                    <w:jc w:val="both"/>
                  </w:pPr>
                  <w:r>
                    <w:rPr>
                      <w:rFonts w:ascii="仿宋_GB2312" w:hAnsi="仿宋_GB2312" w:cs="仿宋_GB2312" w:eastAsia="仿宋_GB2312"/>
                      <w:sz w:val="20"/>
                      <w:color w:val="0C0C0C"/>
                    </w:rPr>
                    <w:t>技术参数</w:t>
                  </w:r>
                </w:p>
              </w:tc>
              <w:tc>
                <w:tcPr>
                  <w:tcW w:type="dxa" w:w="511"/>
                </w:tcPr>
                <w:p>
                  <w:pPr>
                    <w:pStyle w:val="null3"/>
                    <w:jc w:val="both"/>
                  </w:pPr>
                  <w:r>
                    <w:rPr>
                      <w:rFonts w:ascii="仿宋_GB2312" w:hAnsi="仿宋_GB2312" w:cs="仿宋_GB2312" w:eastAsia="仿宋_GB2312"/>
                      <w:sz w:val="20"/>
                      <w:color w:val="0C0C0C"/>
                    </w:rPr>
                    <w:t>备注</w:t>
                  </w:r>
                </w:p>
              </w:tc>
            </w:tr>
            <w:tr>
              <w:tc>
                <w:tcPr>
                  <w:tcW w:type="dxa" w:w="511"/>
                </w:tcPr>
                <w:p>
                  <w:pPr>
                    <w:pStyle w:val="null3"/>
                  </w:pPr>
                  <w:r>
                    <w:rPr>
                      <w:rFonts w:ascii="仿宋_GB2312" w:hAnsi="仿宋_GB2312" w:cs="仿宋_GB2312" w:eastAsia="仿宋_GB2312"/>
                      <w:sz w:val="20"/>
                      <w:color w:val="0C0C0C"/>
                    </w:rPr>
                    <w:t>辆</w:t>
                  </w:r>
                </w:p>
              </w:tc>
              <w:tc>
                <w:tcPr>
                  <w:tcW w:type="dxa" w:w="511"/>
                </w:tcPr>
                <w:p>
                  <w:pPr>
                    <w:pStyle w:val="null3"/>
                  </w:pPr>
                  <w:r>
                    <w:rPr>
                      <w:rFonts w:ascii="仿宋_GB2312" w:hAnsi="仿宋_GB2312" w:cs="仿宋_GB2312" w:eastAsia="仿宋_GB2312"/>
                    </w:rPr>
                    <w:t>2</w:t>
                  </w:r>
                </w:p>
              </w:tc>
              <w:tc>
                <w:tcPr>
                  <w:tcW w:type="dxa" w:w="511"/>
                </w:tcPr>
                <w:p>
                  <w:pPr>
                    <w:pStyle w:val="null3"/>
                  </w:pPr>
                  <w:r>
                    <w:rPr>
                      <w:rFonts w:ascii="仿宋_GB2312" w:hAnsi="仿宋_GB2312" w:cs="仿宋_GB2312" w:eastAsia="仿宋_GB2312"/>
                      <w:sz w:val="20"/>
                      <w:color w:val="0C0C0C"/>
                    </w:rPr>
                    <w:t>物料粉碎车</w:t>
                  </w:r>
                </w:p>
              </w:tc>
              <w:tc>
                <w:tcPr>
                  <w:tcW w:type="dxa" w:w="511"/>
                </w:tcPr>
                <w:p>
                  <w:pPr>
                    <w:pStyle w:val="null3"/>
                  </w:pPr>
                  <w:r>
                    <w:rPr>
                      <w:rFonts w:ascii="仿宋_GB2312" w:hAnsi="仿宋_GB2312" w:cs="仿宋_GB2312" w:eastAsia="仿宋_GB2312"/>
                      <w:sz w:val="20"/>
                      <w:color w:val="0C0C0C"/>
                    </w:rPr>
                    <w:t>1、燃料种类：柴油；</w:t>
                  </w:r>
                </w:p>
                <w:p>
                  <w:pPr>
                    <w:pStyle w:val="null3"/>
                  </w:pPr>
                  <w:r>
                    <w:rPr>
                      <w:rFonts w:ascii="仿宋_GB2312" w:hAnsi="仿宋_GB2312" w:cs="仿宋_GB2312" w:eastAsia="仿宋_GB2312"/>
                      <w:sz w:val="20"/>
                      <w:color w:val="0C0C0C"/>
                    </w:rPr>
                    <w:t>2、底盘排放标准：国六；</w:t>
                  </w:r>
                </w:p>
                <w:p>
                  <w:pPr>
                    <w:pStyle w:val="null3"/>
                  </w:pPr>
                  <w:r>
                    <w:rPr>
                      <w:rFonts w:ascii="仿宋_GB2312" w:hAnsi="仿宋_GB2312" w:cs="仿宋_GB2312" w:eastAsia="仿宋_GB2312"/>
                      <w:sz w:val="20"/>
                      <w:color w:val="0C0C0C"/>
                    </w:rPr>
                    <w:t>3、发动机额定功率：≥100kW；</w:t>
                  </w:r>
                </w:p>
                <w:p>
                  <w:pPr>
                    <w:pStyle w:val="null3"/>
                  </w:pPr>
                  <w:r>
                    <w:rPr>
                      <w:rFonts w:ascii="仿宋_GB2312" w:hAnsi="仿宋_GB2312" w:cs="仿宋_GB2312" w:eastAsia="仿宋_GB2312"/>
                      <w:sz w:val="20"/>
                      <w:color w:val="0C0C0C"/>
                    </w:rPr>
                    <w:t>4、总质量：≥4490kg；整备质量≥3900kg；</w:t>
                  </w:r>
                </w:p>
                <w:p>
                  <w:pPr>
                    <w:pStyle w:val="null3"/>
                  </w:pPr>
                  <w:r>
                    <w:rPr>
                      <w:rFonts w:ascii="仿宋_GB2312" w:hAnsi="仿宋_GB2312" w:cs="仿宋_GB2312" w:eastAsia="仿宋_GB2312"/>
                      <w:sz w:val="20"/>
                      <w:color w:val="0C0C0C"/>
                    </w:rPr>
                    <w:t>5、轴距(mm)：≥3300，排量(ml)：≥2300；</w:t>
                  </w:r>
                </w:p>
                <w:p>
                  <w:pPr>
                    <w:pStyle w:val="null3"/>
                  </w:pPr>
                  <w:r>
                    <w:rPr>
                      <w:rFonts w:ascii="仿宋_GB2312" w:hAnsi="仿宋_GB2312" w:cs="仿宋_GB2312" w:eastAsia="仿宋_GB2312"/>
                      <w:sz w:val="20"/>
                      <w:color w:val="0C0C0C"/>
                    </w:rPr>
                    <w:t>6、外形尺寸（长×宽×高）：长≥5980mm；宽≥2060mm；高≥2990mm；</w:t>
                  </w:r>
                </w:p>
                <w:p>
                  <w:pPr>
                    <w:pStyle w:val="null3"/>
                  </w:pPr>
                  <w:r>
                    <w:rPr>
                      <w:rFonts w:ascii="仿宋_GB2312" w:hAnsi="仿宋_GB2312" w:cs="仿宋_GB2312" w:eastAsia="仿宋_GB2312"/>
                      <w:sz w:val="20"/>
                      <w:color w:val="0C0C0C"/>
                    </w:rPr>
                    <w:t>7、前悬/后悬：≥1055/1617mm；</w:t>
                  </w:r>
                </w:p>
                <w:p>
                  <w:pPr>
                    <w:pStyle w:val="null3"/>
                  </w:pPr>
                  <w:r>
                    <w:rPr>
                      <w:rFonts w:ascii="仿宋_GB2312" w:hAnsi="仿宋_GB2312" w:cs="仿宋_GB2312" w:eastAsia="仿宋_GB2312"/>
                      <w:sz w:val="20"/>
                      <w:color w:val="0C0C0C"/>
                    </w:rPr>
                    <w:t>8、接近角/离去角：≥28/15(°)；</w:t>
                  </w:r>
                </w:p>
                <w:p>
                  <w:pPr>
                    <w:pStyle w:val="null3"/>
                  </w:pPr>
                  <w:r>
                    <w:rPr>
                      <w:rFonts w:ascii="仿宋_GB2312" w:hAnsi="仿宋_GB2312" w:cs="仿宋_GB2312" w:eastAsia="仿宋_GB2312"/>
                      <w:sz w:val="20"/>
                      <w:color w:val="0C0C0C"/>
                    </w:rPr>
                    <w:t>9、车速：≥110(km/h)；</w:t>
                  </w:r>
                </w:p>
                <w:p>
                  <w:pPr>
                    <w:pStyle w:val="null3"/>
                  </w:pPr>
                  <w:r>
                    <w:rPr>
                      <w:rFonts w:ascii="仿宋_GB2312" w:hAnsi="仿宋_GB2312" w:cs="仿宋_GB2312" w:eastAsia="仿宋_GB2312"/>
                      <w:sz w:val="20"/>
                      <w:color w:val="0C0C0C"/>
                    </w:rPr>
                    <w:t>10、最大进料尺寸：≥400mm*300mm；</w:t>
                  </w:r>
                </w:p>
                <w:p>
                  <w:pPr>
                    <w:pStyle w:val="null3"/>
                  </w:pPr>
                  <w:r>
                    <w:rPr>
                      <w:rFonts w:ascii="仿宋_GB2312" w:hAnsi="仿宋_GB2312" w:cs="仿宋_GB2312" w:eastAsia="仿宋_GB2312"/>
                      <w:sz w:val="20"/>
                      <w:color w:val="0C0C0C"/>
                    </w:rPr>
                    <w:t>11、料仓容积≥10.5m³；</w:t>
                  </w:r>
                </w:p>
                <w:p>
                  <w:pPr>
                    <w:pStyle w:val="null3"/>
                  </w:pPr>
                  <w:r>
                    <w:rPr>
                      <w:rFonts w:ascii="仿宋_GB2312" w:hAnsi="仿宋_GB2312" w:cs="仿宋_GB2312" w:eastAsia="仿宋_GB2312"/>
                      <w:sz w:val="20"/>
                      <w:color w:val="0C0C0C"/>
                    </w:rPr>
                    <w:t>12、内置同等或优于鼓式双面切刀粉碎机，最大粉碎直径：≥200mm；</w:t>
                  </w:r>
                </w:p>
                <w:p>
                  <w:pPr>
                    <w:pStyle w:val="null3"/>
                  </w:pPr>
                  <w:r>
                    <w:rPr>
                      <w:rFonts w:ascii="仿宋_GB2312" w:hAnsi="仿宋_GB2312" w:cs="仿宋_GB2312" w:eastAsia="仿宋_GB2312"/>
                      <w:sz w:val="20"/>
                      <w:color w:val="0C0C0C"/>
                    </w:rPr>
                    <w:t>13、其他性能及要求:驾驶室配置冷暖空调，电动玻璃，中控锁，ABS，大灯自动调节，倒车影像。粉碎仓一体化成型。粉碎装置安装在托架上,四周密封，防止粉碎的木屑四处飞溅，保证安全性。厢体具备后倾翻油缸举升卸料。控制方式PLC控制模式。整机驱动为液压驱动方式，驱动动力从底盘变速箱侧窗口取力器取力，主机取力(无副发) 机械式，工作压力高，驱动扭矩大（采用先进的液压技术和智能化控制系统，操作简单）。满足农业废弃物田间收集及转运。</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jc w:val="both"/>
                  </w:pPr>
                  <w:r>
                    <w:rPr>
                      <w:rFonts w:ascii="仿宋_GB2312" w:hAnsi="仿宋_GB2312" w:cs="仿宋_GB2312" w:eastAsia="仿宋_GB2312"/>
                      <w:sz w:val="20"/>
                      <w:color w:val="0C0C0C"/>
                    </w:rPr>
                    <w:t>辆</w:t>
                  </w:r>
                </w:p>
              </w:tc>
              <w:tc>
                <w:tcPr>
                  <w:tcW w:type="dxa" w:w="511"/>
                </w:tcPr>
                <w:p>
                  <w:pPr>
                    <w:pStyle w:val="null3"/>
                  </w:pPr>
                  <w:r>
                    <w:rPr>
                      <w:rFonts w:ascii="仿宋_GB2312" w:hAnsi="仿宋_GB2312" w:cs="仿宋_GB2312" w:eastAsia="仿宋_GB2312"/>
                    </w:rPr>
                    <w:t>2</w:t>
                  </w:r>
                </w:p>
              </w:tc>
              <w:tc>
                <w:tcPr>
                  <w:tcW w:type="dxa" w:w="511"/>
                </w:tcPr>
                <w:p>
                  <w:pPr>
                    <w:pStyle w:val="null3"/>
                    <w:jc w:val="both"/>
                  </w:pPr>
                  <w:r>
                    <w:rPr>
                      <w:rFonts w:ascii="仿宋_GB2312" w:hAnsi="仿宋_GB2312" w:cs="仿宋_GB2312" w:eastAsia="仿宋_GB2312"/>
                      <w:sz w:val="20"/>
                      <w:color w:val="0C0C0C"/>
                    </w:rPr>
                    <w:t>单排座轻型栏板卡车</w:t>
                  </w:r>
                </w:p>
              </w:tc>
              <w:tc>
                <w:tcPr>
                  <w:tcW w:type="dxa" w:w="511"/>
                </w:tcPr>
                <w:p>
                  <w:pPr>
                    <w:pStyle w:val="null3"/>
                    <w:jc w:val="left"/>
                  </w:pPr>
                  <w:r>
                    <w:rPr>
                      <w:rFonts w:ascii="仿宋_GB2312" w:hAnsi="仿宋_GB2312" w:cs="仿宋_GB2312" w:eastAsia="仿宋_GB2312"/>
                      <w:sz w:val="20"/>
                      <w:color w:val="0C0C0C"/>
                    </w:rPr>
                    <w:t>1、燃料种类:汽油；</w:t>
                  </w:r>
                </w:p>
                <w:p>
                  <w:pPr>
                    <w:pStyle w:val="null3"/>
                    <w:jc w:val="left"/>
                  </w:pPr>
                  <w:r>
                    <w:rPr>
                      <w:rFonts w:ascii="仿宋_GB2312" w:hAnsi="仿宋_GB2312" w:cs="仿宋_GB2312" w:eastAsia="仿宋_GB2312"/>
                      <w:sz w:val="20"/>
                      <w:color w:val="0C0C0C"/>
                    </w:rPr>
                    <w:t>2、</w:t>
                  </w:r>
                  <w:r>
                    <w:rPr>
                      <w:rFonts w:ascii="仿宋_GB2312" w:hAnsi="仿宋_GB2312" w:cs="仿宋_GB2312" w:eastAsia="仿宋_GB2312"/>
                      <w:sz w:val="20"/>
                      <w:color w:val="0C0C0C"/>
                    </w:rPr>
                    <w:t>发动机</w:t>
                  </w:r>
                  <w:r>
                    <w:rPr>
                      <w:rFonts w:ascii="仿宋_GB2312" w:hAnsi="仿宋_GB2312" w:cs="仿宋_GB2312" w:eastAsia="仿宋_GB2312"/>
                      <w:sz w:val="20"/>
                      <w:color w:val="0C0C0C"/>
                    </w:rPr>
                    <w:t>:汽油发动机；</w:t>
                  </w:r>
                </w:p>
                <w:p>
                  <w:pPr>
                    <w:pStyle w:val="null3"/>
                    <w:jc w:val="left"/>
                  </w:pPr>
                  <w:r>
                    <w:rPr>
                      <w:rFonts w:ascii="仿宋_GB2312" w:hAnsi="仿宋_GB2312" w:cs="仿宋_GB2312" w:eastAsia="仿宋_GB2312"/>
                      <w:sz w:val="20"/>
                      <w:color w:val="0C0C0C"/>
                    </w:rPr>
                    <w:t>3</w:t>
                  </w:r>
                  <w:r>
                    <w:rPr>
                      <w:rFonts w:ascii="仿宋_GB2312" w:hAnsi="仿宋_GB2312" w:cs="仿宋_GB2312" w:eastAsia="仿宋_GB2312"/>
                      <w:sz w:val="20"/>
                      <w:color w:val="0C0C0C"/>
                    </w:rPr>
                    <w:t>、</w:t>
                  </w:r>
                  <w:r>
                    <w:rPr>
                      <w:rFonts w:ascii="仿宋_GB2312" w:hAnsi="仿宋_GB2312" w:cs="仿宋_GB2312" w:eastAsia="仿宋_GB2312"/>
                      <w:sz w:val="20"/>
                      <w:color w:val="0C0C0C"/>
                    </w:rPr>
                    <w:t>排量</w:t>
                  </w:r>
                  <w:r>
                    <w:rPr>
                      <w:rFonts w:ascii="仿宋_GB2312" w:hAnsi="仿宋_GB2312" w:cs="仿宋_GB2312" w:eastAsia="仿宋_GB2312"/>
                      <w:sz w:val="20"/>
                      <w:color w:val="0C0C0C"/>
                    </w:rPr>
                    <w:t>(L):排量≥1.49；</w:t>
                  </w:r>
                </w:p>
                <w:p>
                  <w:pPr>
                    <w:pStyle w:val="null3"/>
                    <w:jc w:val="left"/>
                  </w:pPr>
                  <w:r>
                    <w:rPr>
                      <w:rFonts w:ascii="仿宋_GB2312" w:hAnsi="仿宋_GB2312" w:cs="仿宋_GB2312" w:eastAsia="仿宋_GB2312"/>
                      <w:sz w:val="20"/>
                      <w:color w:val="0C0C0C"/>
                    </w:rPr>
                    <w:t>4</w:t>
                  </w:r>
                  <w:r>
                    <w:rPr>
                      <w:rFonts w:ascii="仿宋_GB2312" w:hAnsi="仿宋_GB2312" w:cs="仿宋_GB2312" w:eastAsia="仿宋_GB2312"/>
                      <w:sz w:val="20"/>
                      <w:color w:val="0C0C0C"/>
                    </w:rPr>
                    <w:t>、</w:t>
                  </w:r>
                  <w:r>
                    <w:rPr>
                      <w:rFonts w:ascii="仿宋_GB2312" w:hAnsi="仿宋_GB2312" w:cs="仿宋_GB2312" w:eastAsia="仿宋_GB2312"/>
                      <w:sz w:val="20"/>
                      <w:color w:val="0C0C0C"/>
                    </w:rPr>
                    <w:t>功率</w:t>
                  </w:r>
                  <w:r>
                    <w:rPr>
                      <w:rFonts w:ascii="仿宋_GB2312" w:hAnsi="仿宋_GB2312" w:cs="仿宋_GB2312" w:eastAsia="仿宋_GB2312"/>
                      <w:sz w:val="20"/>
                      <w:color w:val="0C0C0C"/>
                    </w:rPr>
                    <w:t>(KW):功率≥83；</w:t>
                  </w:r>
                </w:p>
                <w:p>
                  <w:pPr>
                    <w:pStyle w:val="null3"/>
                    <w:jc w:val="left"/>
                  </w:pPr>
                  <w:r>
                    <w:rPr>
                      <w:rFonts w:ascii="仿宋_GB2312" w:hAnsi="仿宋_GB2312" w:cs="仿宋_GB2312" w:eastAsia="仿宋_GB2312"/>
                      <w:sz w:val="20"/>
                      <w:color w:val="0C0C0C"/>
                    </w:rPr>
                    <w:t>5</w:t>
                  </w:r>
                  <w:r>
                    <w:rPr>
                      <w:rFonts w:ascii="仿宋_GB2312" w:hAnsi="仿宋_GB2312" w:cs="仿宋_GB2312" w:eastAsia="仿宋_GB2312"/>
                      <w:sz w:val="20"/>
                      <w:color w:val="0C0C0C"/>
                    </w:rPr>
                    <w:t>、</w:t>
                  </w:r>
                  <w:r>
                    <w:rPr>
                      <w:rFonts w:ascii="仿宋_GB2312" w:hAnsi="仿宋_GB2312" w:cs="仿宋_GB2312" w:eastAsia="仿宋_GB2312"/>
                      <w:sz w:val="20"/>
                      <w:color w:val="0C0C0C"/>
                    </w:rPr>
                    <w:t>排放标准</w:t>
                  </w:r>
                  <w:r>
                    <w:rPr>
                      <w:rFonts w:ascii="仿宋_GB2312" w:hAnsi="仿宋_GB2312" w:cs="仿宋_GB2312" w:eastAsia="仿宋_GB2312"/>
                      <w:sz w:val="20"/>
                      <w:color w:val="0C0C0C"/>
                    </w:rPr>
                    <w:t>:国六；</w:t>
                  </w:r>
                </w:p>
                <w:p>
                  <w:pPr>
                    <w:pStyle w:val="null3"/>
                    <w:jc w:val="left"/>
                  </w:pPr>
                  <w:r>
                    <w:rPr>
                      <w:rFonts w:ascii="仿宋_GB2312" w:hAnsi="仿宋_GB2312" w:cs="仿宋_GB2312" w:eastAsia="仿宋_GB2312"/>
                      <w:sz w:val="20"/>
                      <w:color w:val="0C0C0C"/>
                    </w:rPr>
                    <w:t>6</w:t>
                  </w:r>
                  <w:r>
                    <w:rPr>
                      <w:rFonts w:ascii="仿宋_GB2312" w:hAnsi="仿宋_GB2312" w:cs="仿宋_GB2312" w:eastAsia="仿宋_GB2312"/>
                      <w:sz w:val="20"/>
                      <w:color w:val="0C0C0C"/>
                    </w:rPr>
                    <w:t>、</w:t>
                  </w:r>
                  <w:r>
                    <w:rPr>
                      <w:rFonts w:ascii="仿宋_GB2312" w:hAnsi="仿宋_GB2312" w:cs="仿宋_GB2312" w:eastAsia="仿宋_GB2312"/>
                      <w:sz w:val="20"/>
                      <w:color w:val="0C0C0C"/>
                    </w:rPr>
                    <w:t>变速箱</w:t>
                  </w:r>
                  <w:r>
                    <w:rPr>
                      <w:rFonts w:ascii="仿宋_GB2312" w:hAnsi="仿宋_GB2312" w:cs="仿宋_GB2312" w:eastAsia="仿宋_GB2312"/>
                      <w:sz w:val="20"/>
                      <w:color w:val="0C0C0C"/>
                    </w:rPr>
                    <w:t>: 5 档；</w:t>
                  </w:r>
                </w:p>
                <w:p>
                  <w:pPr>
                    <w:pStyle w:val="null3"/>
                    <w:jc w:val="left"/>
                  </w:pPr>
                  <w:r>
                    <w:rPr>
                      <w:rFonts w:ascii="仿宋_GB2312" w:hAnsi="仿宋_GB2312" w:cs="仿宋_GB2312" w:eastAsia="仿宋_GB2312"/>
                      <w:sz w:val="20"/>
                      <w:color w:val="0C0C0C"/>
                    </w:rPr>
                    <w:t>7</w:t>
                  </w:r>
                  <w:r>
                    <w:rPr>
                      <w:rFonts w:ascii="仿宋_GB2312" w:hAnsi="仿宋_GB2312" w:cs="仿宋_GB2312" w:eastAsia="仿宋_GB2312"/>
                      <w:sz w:val="20"/>
                      <w:color w:val="0C0C0C"/>
                    </w:rPr>
                    <w:t>、</w:t>
                  </w:r>
                  <w:r>
                    <w:rPr>
                      <w:rFonts w:ascii="仿宋_GB2312" w:hAnsi="仿宋_GB2312" w:cs="仿宋_GB2312" w:eastAsia="仿宋_GB2312"/>
                      <w:sz w:val="20"/>
                      <w:color w:val="0C0C0C"/>
                    </w:rPr>
                    <w:t>外廓尺寸</w:t>
                  </w:r>
                  <w:r>
                    <w:rPr>
                      <w:rFonts w:ascii="仿宋_GB2312" w:hAnsi="仿宋_GB2312" w:cs="仿宋_GB2312" w:eastAsia="仿宋_GB2312"/>
                      <w:sz w:val="20"/>
                      <w:color w:val="0C0C0C"/>
                    </w:rPr>
                    <w:t>(mm):5995≥长≥5520,2000≥宽≥1800,2230≥高≥2045；</w:t>
                  </w:r>
                </w:p>
                <w:p>
                  <w:pPr>
                    <w:pStyle w:val="null3"/>
                    <w:jc w:val="left"/>
                  </w:pPr>
                  <w:r>
                    <w:rPr>
                      <w:rFonts w:ascii="仿宋_GB2312" w:hAnsi="仿宋_GB2312" w:cs="仿宋_GB2312" w:eastAsia="仿宋_GB2312"/>
                      <w:sz w:val="20"/>
                      <w:color w:val="0C0C0C"/>
                    </w:rPr>
                    <w:t>8</w:t>
                  </w:r>
                  <w:r>
                    <w:rPr>
                      <w:rFonts w:ascii="仿宋_GB2312" w:hAnsi="仿宋_GB2312" w:cs="仿宋_GB2312" w:eastAsia="仿宋_GB2312"/>
                      <w:sz w:val="20"/>
                      <w:color w:val="0C0C0C"/>
                    </w:rPr>
                    <w:t>、</w:t>
                  </w:r>
                  <w:r>
                    <w:rPr>
                      <w:rFonts w:ascii="仿宋_GB2312" w:hAnsi="仿宋_GB2312" w:cs="仿宋_GB2312" w:eastAsia="仿宋_GB2312"/>
                      <w:sz w:val="20"/>
                      <w:color w:val="0C0C0C"/>
                    </w:rPr>
                    <w:t>货箱尺寸</w:t>
                  </w:r>
                  <w:r>
                    <w:rPr>
                      <w:rFonts w:ascii="仿宋_GB2312" w:hAnsi="仿宋_GB2312" w:cs="仿宋_GB2312" w:eastAsia="仿宋_GB2312"/>
                      <w:sz w:val="20"/>
                      <w:color w:val="0C0C0C"/>
                    </w:rPr>
                    <w:t>(mm):3500≥长≥3400,1850≥宽≥1700，400≥高≥355；</w:t>
                  </w:r>
                </w:p>
                <w:p>
                  <w:pPr>
                    <w:pStyle w:val="null3"/>
                    <w:jc w:val="left"/>
                  </w:pPr>
                  <w:r>
                    <w:rPr>
                      <w:rFonts w:ascii="仿宋_GB2312" w:hAnsi="仿宋_GB2312" w:cs="仿宋_GB2312" w:eastAsia="仿宋_GB2312"/>
                      <w:sz w:val="20"/>
                      <w:color w:val="0C0C0C"/>
                    </w:rPr>
                    <w:t>9</w:t>
                  </w:r>
                  <w:r>
                    <w:rPr>
                      <w:rFonts w:ascii="仿宋_GB2312" w:hAnsi="仿宋_GB2312" w:cs="仿宋_GB2312" w:eastAsia="仿宋_GB2312"/>
                      <w:sz w:val="20"/>
                      <w:color w:val="0C0C0C"/>
                    </w:rPr>
                    <w:t>、</w:t>
                  </w:r>
                  <w:r>
                    <w:rPr>
                      <w:rFonts w:ascii="仿宋_GB2312" w:hAnsi="仿宋_GB2312" w:cs="仿宋_GB2312" w:eastAsia="仿宋_GB2312"/>
                      <w:sz w:val="20"/>
                      <w:color w:val="0C0C0C"/>
                    </w:rPr>
                    <w:t>轮胎数</w:t>
                  </w:r>
                  <w:r>
                    <w:rPr>
                      <w:rFonts w:ascii="仿宋_GB2312" w:hAnsi="仿宋_GB2312" w:cs="仿宋_GB2312" w:eastAsia="仿宋_GB2312"/>
                      <w:sz w:val="20"/>
                      <w:color w:val="0C0C0C"/>
                    </w:rPr>
                    <w:t>:6个；</w:t>
                  </w:r>
                </w:p>
                <w:p>
                  <w:pPr>
                    <w:pStyle w:val="null3"/>
                    <w:jc w:val="left"/>
                  </w:pPr>
                  <w:r>
                    <w:rPr>
                      <w:rFonts w:ascii="仿宋_GB2312" w:hAnsi="仿宋_GB2312" w:cs="仿宋_GB2312" w:eastAsia="仿宋_GB2312"/>
                      <w:sz w:val="20"/>
                      <w:color w:val="0C0C0C"/>
                    </w:rPr>
                    <w:t>10</w:t>
                  </w:r>
                  <w:r>
                    <w:rPr>
                      <w:rFonts w:ascii="仿宋_GB2312" w:hAnsi="仿宋_GB2312" w:cs="仿宋_GB2312" w:eastAsia="仿宋_GB2312"/>
                      <w:sz w:val="20"/>
                      <w:color w:val="0C0C0C"/>
                    </w:rPr>
                    <w:t>、</w:t>
                  </w:r>
                  <w:r>
                    <w:rPr>
                      <w:rFonts w:ascii="仿宋_GB2312" w:hAnsi="仿宋_GB2312" w:cs="仿宋_GB2312" w:eastAsia="仿宋_GB2312"/>
                      <w:sz w:val="20"/>
                      <w:color w:val="0C0C0C"/>
                    </w:rPr>
                    <w:t>轴距</w:t>
                  </w:r>
                  <w:r>
                    <w:rPr>
                      <w:rFonts w:ascii="仿宋_GB2312" w:hAnsi="仿宋_GB2312" w:cs="仿宋_GB2312" w:eastAsia="仿宋_GB2312"/>
                      <w:sz w:val="20"/>
                      <w:color w:val="0C0C0C"/>
                    </w:rPr>
                    <w:t>(mm):轴距≥2800；</w:t>
                  </w:r>
                </w:p>
                <w:p>
                  <w:pPr>
                    <w:pStyle w:val="null3"/>
                    <w:jc w:val="left"/>
                  </w:pPr>
                  <w:r>
                    <w:rPr>
                      <w:rFonts w:ascii="仿宋_GB2312" w:hAnsi="仿宋_GB2312" w:cs="仿宋_GB2312" w:eastAsia="仿宋_GB2312"/>
                      <w:sz w:val="20"/>
                      <w:color w:val="0C0C0C"/>
                    </w:rPr>
                    <w:t>11、总质量(kg):≥3495；</w:t>
                  </w:r>
                </w:p>
                <w:p>
                  <w:pPr>
                    <w:pStyle w:val="null3"/>
                    <w:jc w:val="left"/>
                  </w:pPr>
                  <w:r>
                    <w:rPr>
                      <w:rFonts w:ascii="仿宋_GB2312" w:hAnsi="仿宋_GB2312" w:cs="仿宋_GB2312" w:eastAsia="仿宋_GB2312"/>
                      <w:sz w:val="20"/>
                      <w:color w:val="0C0C0C"/>
                    </w:rPr>
                    <w:t>12、额定载质量(kg):≥1700；</w:t>
                  </w:r>
                </w:p>
                <w:p>
                  <w:pPr>
                    <w:pStyle w:val="null3"/>
                    <w:jc w:val="left"/>
                  </w:pPr>
                  <w:r>
                    <w:rPr>
                      <w:rFonts w:ascii="仿宋_GB2312" w:hAnsi="仿宋_GB2312" w:cs="仿宋_GB2312" w:eastAsia="仿宋_GB2312"/>
                      <w:sz w:val="20"/>
                      <w:color w:val="0C0C0C"/>
                    </w:rPr>
                    <w:t>13、乘员人数:≥2人；</w:t>
                  </w:r>
                </w:p>
                <w:p>
                  <w:pPr>
                    <w:pStyle w:val="null3"/>
                    <w:jc w:val="both"/>
                  </w:pPr>
                  <w:r>
                    <w:rPr>
                      <w:rFonts w:ascii="仿宋_GB2312" w:hAnsi="仿宋_GB2312" w:cs="仿宋_GB2312" w:eastAsia="仿宋_GB2312"/>
                      <w:sz w:val="20"/>
                      <w:color w:val="0C0C0C"/>
                    </w:rPr>
                    <w:t>14、其他配置及要求:中控锁、遥控钥匙、空调、电动门窗，倒车影像；满足农业废弃物田间收集及转运。</w:t>
                  </w:r>
                </w:p>
              </w:tc>
              <w:tc>
                <w:tcPr>
                  <w:tcW w:type="dxa" w:w="511"/>
                </w:tcPr>
                <w:p>
                  <w:pPr>
                    <w:pStyle w:val="null3"/>
                  </w:pPr>
                  <w:r>
                    <w:rPr>
                      <w:rFonts w:ascii="仿宋_GB2312" w:hAnsi="仿宋_GB2312" w:cs="仿宋_GB2312" w:eastAsia="仿宋_GB2312"/>
                    </w:rPr>
                    <w:t xml:space="preserve"> </w:t>
                  </w:r>
                </w:p>
              </w:tc>
            </w:tr>
            <w:tr>
              <w:tc>
                <w:tcPr>
                  <w:tcW w:type="dxa" w:w="511"/>
                </w:tcPr>
                <w:p>
                  <w:pPr>
                    <w:pStyle w:val="null3"/>
                    <w:jc w:val="both"/>
                  </w:pPr>
                  <w:r>
                    <w:rPr>
                      <w:rFonts w:ascii="仿宋_GB2312" w:hAnsi="仿宋_GB2312" w:cs="仿宋_GB2312" w:eastAsia="仿宋_GB2312"/>
                      <w:sz w:val="20"/>
                      <w:color w:val="0C0C0C"/>
                    </w:rPr>
                    <w:t>辆</w:t>
                  </w:r>
                </w:p>
              </w:tc>
              <w:tc>
                <w:tcPr>
                  <w:tcW w:type="dxa" w:w="511"/>
                </w:tcPr>
                <w:p>
                  <w:pPr>
                    <w:pStyle w:val="null3"/>
                  </w:pPr>
                  <w:r>
                    <w:rPr>
                      <w:rFonts w:ascii="仿宋_GB2312" w:hAnsi="仿宋_GB2312" w:cs="仿宋_GB2312" w:eastAsia="仿宋_GB2312"/>
                    </w:rPr>
                    <w:t>6</w:t>
                  </w:r>
                </w:p>
              </w:tc>
              <w:tc>
                <w:tcPr>
                  <w:tcW w:type="dxa" w:w="511"/>
                </w:tcPr>
                <w:p>
                  <w:pPr>
                    <w:pStyle w:val="null3"/>
                    <w:jc w:val="both"/>
                  </w:pPr>
                  <w:r>
                    <w:rPr>
                      <w:rFonts w:ascii="仿宋_GB2312" w:hAnsi="仿宋_GB2312" w:cs="仿宋_GB2312" w:eastAsia="仿宋_GB2312"/>
                      <w:sz w:val="20"/>
                      <w:color w:val="0C0C0C"/>
                    </w:rPr>
                    <w:t>树枝粉碎收集三轮车</w:t>
                  </w:r>
                </w:p>
              </w:tc>
              <w:tc>
                <w:tcPr>
                  <w:tcW w:type="dxa" w:w="511"/>
                </w:tcPr>
                <w:p>
                  <w:pPr>
                    <w:pStyle w:val="null3"/>
                    <w:jc w:val="left"/>
                  </w:pPr>
                  <w:r>
                    <w:rPr>
                      <w:rFonts w:ascii="仿宋_GB2312" w:hAnsi="仿宋_GB2312" w:cs="仿宋_GB2312" w:eastAsia="仿宋_GB2312"/>
                      <w:sz w:val="20"/>
                      <w:color w:val="0C0C0C"/>
                    </w:rPr>
                    <w:t>1、行走动力: 电；</w:t>
                  </w:r>
                </w:p>
                <w:p>
                  <w:pPr>
                    <w:pStyle w:val="null3"/>
                    <w:jc w:val="left"/>
                  </w:pPr>
                  <w:r>
                    <w:rPr>
                      <w:rFonts w:ascii="仿宋_GB2312" w:hAnsi="仿宋_GB2312" w:cs="仿宋_GB2312" w:eastAsia="仿宋_GB2312"/>
                      <w:sz w:val="20"/>
                      <w:color w:val="0C0C0C"/>
                    </w:rPr>
                    <w:t>2、配套粉碎动力:汽油机；</w:t>
                  </w:r>
                </w:p>
                <w:p>
                  <w:pPr>
                    <w:pStyle w:val="null3"/>
                    <w:jc w:val="left"/>
                  </w:pPr>
                  <w:r>
                    <w:rPr>
                      <w:rFonts w:ascii="仿宋_GB2312" w:hAnsi="仿宋_GB2312" w:cs="仿宋_GB2312" w:eastAsia="仿宋_GB2312"/>
                      <w:sz w:val="20"/>
                      <w:color w:val="0C0C0C"/>
                    </w:rPr>
                    <w:t>3、总质量(kg）≥500kg；</w:t>
                  </w:r>
                </w:p>
                <w:p>
                  <w:pPr>
                    <w:pStyle w:val="null3"/>
                    <w:jc w:val="left"/>
                  </w:pPr>
                  <w:r>
                    <w:rPr>
                      <w:rFonts w:ascii="仿宋_GB2312" w:hAnsi="仿宋_GB2312" w:cs="仿宋_GB2312" w:eastAsia="仿宋_GB2312"/>
                      <w:sz w:val="20"/>
                      <w:color w:val="0C0C0C"/>
                    </w:rPr>
                    <w:t>4、行走电机:≥60V1500W；</w:t>
                  </w:r>
                </w:p>
                <w:p>
                  <w:pPr>
                    <w:pStyle w:val="null3"/>
                    <w:jc w:val="left"/>
                  </w:pPr>
                  <w:r>
                    <w:rPr>
                      <w:rFonts w:ascii="仿宋_GB2312" w:hAnsi="仿宋_GB2312" w:cs="仿宋_GB2312" w:eastAsia="仿宋_GB2312"/>
                      <w:sz w:val="20"/>
                      <w:color w:val="0C0C0C"/>
                    </w:rPr>
                    <w:t>5、收料箱容量：≥1.4m³；</w:t>
                  </w:r>
                </w:p>
                <w:p>
                  <w:pPr>
                    <w:pStyle w:val="null3"/>
                    <w:jc w:val="left"/>
                  </w:pPr>
                  <w:r>
                    <w:rPr>
                      <w:rFonts w:ascii="仿宋_GB2312" w:hAnsi="仿宋_GB2312" w:cs="仿宋_GB2312" w:eastAsia="仿宋_GB2312"/>
                      <w:sz w:val="20"/>
                      <w:color w:val="0C0C0C"/>
                    </w:rPr>
                    <w:t>6、粉碎物长度：≤30mm，粉碎物料直径：≤10cm；</w:t>
                  </w:r>
                </w:p>
                <w:p>
                  <w:pPr>
                    <w:pStyle w:val="null3"/>
                    <w:jc w:val="left"/>
                  </w:pPr>
                  <w:r>
                    <w:rPr>
                      <w:rFonts w:ascii="仿宋_GB2312" w:hAnsi="仿宋_GB2312" w:cs="仿宋_GB2312" w:eastAsia="仿宋_GB2312"/>
                      <w:sz w:val="20"/>
                      <w:color w:val="0C0C0C"/>
                    </w:rPr>
                    <w:t>7、出料口数量：双出料口，自动卸料；</w:t>
                  </w:r>
                </w:p>
                <w:p>
                  <w:pPr>
                    <w:pStyle w:val="null3"/>
                    <w:jc w:val="left"/>
                  </w:pPr>
                  <w:r>
                    <w:rPr>
                      <w:rFonts w:ascii="仿宋_GB2312" w:hAnsi="仿宋_GB2312" w:cs="仿宋_GB2312" w:eastAsia="仿宋_GB2312"/>
                      <w:sz w:val="20"/>
                      <w:color w:val="0C0C0C"/>
                    </w:rPr>
                    <w:t>8、外廓尺寸(mm):长≥3400宽≥1120高≥1500；</w:t>
                  </w:r>
                </w:p>
                <w:p>
                  <w:pPr>
                    <w:pStyle w:val="null3"/>
                    <w:jc w:val="left"/>
                  </w:pPr>
                  <w:r>
                    <w:rPr>
                      <w:rFonts w:ascii="仿宋_GB2312" w:hAnsi="仿宋_GB2312" w:cs="仿宋_GB2312" w:eastAsia="仿宋_GB2312"/>
                      <w:sz w:val="20"/>
                      <w:color w:val="0C0C0C"/>
                    </w:rPr>
                    <w:t>9、行走电池:60V32A铅酸免维护；</w:t>
                  </w:r>
                </w:p>
                <w:p>
                  <w:pPr>
                    <w:pStyle w:val="null3"/>
                    <w:jc w:val="left"/>
                  </w:pPr>
                  <w:r>
                    <w:rPr>
                      <w:rFonts w:ascii="仿宋_GB2312" w:hAnsi="仿宋_GB2312" w:cs="仿宋_GB2312" w:eastAsia="仿宋_GB2312"/>
                      <w:sz w:val="20"/>
                      <w:color w:val="0C0C0C"/>
                    </w:rPr>
                    <w:t>10、轮胎数:3个；</w:t>
                  </w:r>
                </w:p>
                <w:p>
                  <w:pPr>
                    <w:pStyle w:val="null3"/>
                    <w:jc w:val="left"/>
                  </w:pPr>
                  <w:r>
                    <w:rPr>
                      <w:rFonts w:ascii="仿宋_GB2312" w:hAnsi="仿宋_GB2312" w:cs="仿宋_GB2312" w:eastAsia="仿宋_GB2312"/>
                      <w:sz w:val="20"/>
                      <w:color w:val="0C0C0C"/>
                    </w:rPr>
                    <w:t>11、刀片长度:≥300mm；刀片材质:同等或优于优质高速钢，刀片数量:≥3片；</w:t>
                  </w:r>
                </w:p>
                <w:p>
                  <w:pPr>
                    <w:pStyle w:val="null3"/>
                    <w:jc w:val="left"/>
                  </w:pPr>
                  <w:r>
                    <w:rPr>
                      <w:rFonts w:ascii="仿宋_GB2312" w:hAnsi="仿宋_GB2312" w:cs="仿宋_GB2312" w:eastAsia="仿宋_GB2312"/>
                      <w:sz w:val="20"/>
                      <w:color w:val="0C0C0C"/>
                    </w:rPr>
                    <w:t>12、续航里程:≥15km，满足村内及田间短途收集要求；</w:t>
                  </w:r>
                </w:p>
                <w:p>
                  <w:pPr>
                    <w:pStyle w:val="null3"/>
                    <w:jc w:val="both"/>
                  </w:pPr>
                  <w:r>
                    <w:rPr>
                      <w:rFonts w:ascii="仿宋_GB2312" w:hAnsi="仿宋_GB2312" w:cs="仿宋_GB2312" w:eastAsia="仿宋_GB2312"/>
                      <w:sz w:val="20"/>
                      <w:color w:val="0C0C0C"/>
                    </w:rPr>
                    <w:t>13、粉碎效率：≥800kg/h；</w:t>
                  </w:r>
                </w:p>
              </w:tc>
              <w:tc>
                <w:tcPr>
                  <w:tcW w:type="dxa" w:w="511"/>
                </w:tcPr>
                <w:p>
                  <w:pPr>
                    <w:pStyle w:val="null3"/>
                  </w:pPr>
                  <w:r>
                    <w:rPr>
                      <w:rFonts w:ascii="仿宋_GB2312" w:hAnsi="仿宋_GB2312" w:cs="仿宋_GB2312" w:eastAsia="仿宋_GB2312"/>
                    </w:rPr>
                    <w:t xml:space="preserve"> </w:t>
                  </w:r>
                </w:p>
              </w:tc>
            </w:tr>
          </w:tbl>
          <w:p>
            <w:pPr>
              <w:pStyle w:val="null3"/>
              <w:jc w:val="left"/>
            </w:pPr>
            <w:r>
              <w:rPr>
                <w:rFonts w:ascii="仿宋_GB2312" w:hAnsi="仿宋_GB2312" w:cs="仿宋_GB2312" w:eastAsia="仿宋_GB2312"/>
                <w:sz w:val="20"/>
                <w:color w:val="0C0C0C"/>
              </w:rPr>
              <w:t>（三）采购</w:t>
            </w:r>
            <w:r>
              <w:rPr>
                <w:rFonts w:ascii="仿宋_GB2312" w:hAnsi="仿宋_GB2312" w:cs="仿宋_GB2312" w:eastAsia="仿宋_GB2312"/>
                <w:sz w:val="20"/>
                <w:color w:val="0C0C0C"/>
              </w:rPr>
              <w:t>车辆商务要求：</w:t>
            </w:r>
          </w:p>
          <w:p>
            <w:pPr>
              <w:pStyle w:val="null3"/>
              <w:ind w:firstLine="400"/>
            </w:pPr>
            <w:r>
              <w:rPr>
                <w:rFonts w:ascii="仿宋_GB2312" w:hAnsi="仿宋_GB2312" w:cs="仿宋_GB2312" w:eastAsia="仿宋_GB2312"/>
                <w:sz w:val="20"/>
                <w:color w:val="0C0C0C"/>
              </w:rPr>
              <w:t>1、车辆供货期限：合同签订后</w:t>
            </w:r>
            <w:r>
              <w:rPr>
                <w:rFonts w:ascii="仿宋_GB2312" w:hAnsi="仿宋_GB2312" w:cs="仿宋_GB2312" w:eastAsia="仿宋_GB2312"/>
                <w:sz w:val="20"/>
                <w:color w:val="0C0C0C"/>
                <w:u w:val="single"/>
              </w:rPr>
              <w:t xml:space="preserve">  </w:t>
            </w:r>
            <w:r>
              <w:rPr>
                <w:rFonts w:ascii="仿宋_GB2312" w:hAnsi="仿宋_GB2312" w:cs="仿宋_GB2312" w:eastAsia="仿宋_GB2312"/>
                <w:sz w:val="20"/>
                <w:color w:val="0C0C0C"/>
                <w:u w:val="single"/>
              </w:rPr>
              <w:t>30</w:t>
            </w:r>
            <w:r>
              <w:rPr>
                <w:rFonts w:ascii="仿宋_GB2312" w:hAnsi="仿宋_GB2312" w:cs="仿宋_GB2312" w:eastAsia="仿宋_GB2312"/>
                <w:sz w:val="20"/>
                <w:color w:val="0C0C0C"/>
              </w:rPr>
              <w:t xml:space="preserve"> </w:t>
            </w:r>
            <w:r>
              <w:rPr>
                <w:rFonts w:ascii="仿宋_GB2312" w:hAnsi="仿宋_GB2312" w:cs="仿宋_GB2312" w:eastAsia="仿宋_GB2312"/>
                <w:sz w:val="20"/>
                <w:color w:val="0C0C0C"/>
              </w:rPr>
              <w:t>个日历天内供货、安装、调试完毕。</w:t>
            </w:r>
          </w:p>
          <w:p>
            <w:pPr>
              <w:pStyle w:val="null3"/>
              <w:ind w:firstLine="400"/>
            </w:pPr>
            <w:r>
              <w:rPr>
                <w:rFonts w:ascii="仿宋_GB2312" w:hAnsi="仿宋_GB2312" w:cs="仿宋_GB2312" w:eastAsia="仿宋_GB2312"/>
                <w:sz w:val="20"/>
                <w:color w:val="0C0C0C"/>
              </w:rPr>
              <w:t>2、车辆质保期：1年。</w:t>
            </w:r>
          </w:p>
          <w:p>
            <w:pPr>
              <w:pStyle w:val="null3"/>
              <w:ind w:firstLine="400"/>
            </w:pPr>
            <w:r>
              <w:rPr>
                <w:rFonts w:ascii="仿宋_GB2312" w:hAnsi="仿宋_GB2312" w:cs="仿宋_GB2312" w:eastAsia="仿宋_GB2312"/>
                <w:sz w:val="20"/>
                <w:color w:val="0C0C0C"/>
              </w:rPr>
              <w:t>3、车辆保修范围：</w:t>
            </w:r>
            <w:r>
              <w:rPr>
                <w:rFonts w:ascii="仿宋_GB2312" w:hAnsi="仿宋_GB2312" w:cs="仿宋_GB2312" w:eastAsia="仿宋_GB2312"/>
                <w:sz w:val="20"/>
                <w:color w:val="0C0C0C"/>
              </w:rPr>
              <w:t>①</w:t>
            </w:r>
            <w:r>
              <w:rPr>
                <w:rFonts w:ascii="仿宋_GB2312" w:hAnsi="仿宋_GB2312" w:cs="仿宋_GB2312" w:eastAsia="仿宋_GB2312"/>
                <w:sz w:val="20"/>
                <w:color w:val="0C0C0C"/>
              </w:rPr>
              <w:t>成交供应商应按国家及行业要求实行质量保障和服务。国家规定</w:t>
            </w:r>
            <w:r>
              <w:rPr>
                <w:rFonts w:ascii="仿宋_GB2312" w:hAnsi="仿宋_GB2312" w:cs="仿宋_GB2312" w:eastAsia="仿宋_GB2312"/>
                <w:sz w:val="20"/>
                <w:color w:val="0C0C0C"/>
              </w:rPr>
              <w:t xml:space="preserve">“三包”范围的，其产品质量保证期不得低于“三包”规定；成交供应商的质量保证期承诺优于国家“三包”规定的，按成交供应商实际承诺执行。质保期成交供应商必须严格按照采购文件要求的质量标准供货，在质保期出现质量问题（人为损坏除外），由中标人负责免费维修或更换。 </w:t>
            </w:r>
            <w:r>
              <w:rPr>
                <w:rFonts w:ascii="仿宋_GB2312" w:hAnsi="仿宋_GB2312" w:cs="仿宋_GB2312" w:eastAsia="仿宋_GB2312"/>
                <w:sz w:val="20"/>
                <w:color w:val="0C0C0C"/>
              </w:rPr>
              <w:t>②</w:t>
            </w:r>
            <w:r>
              <w:rPr>
                <w:rFonts w:ascii="仿宋_GB2312" w:hAnsi="仿宋_GB2312" w:cs="仿宋_GB2312" w:eastAsia="仿宋_GB2312"/>
                <w:sz w:val="20"/>
                <w:color w:val="0C0C0C"/>
              </w:rPr>
              <w:t>成交供应商需为本项目提供售后服务团队，负责维修及抢修（含配件耗材的更换），售后服务部门在接到电话后</w:t>
            </w:r>
            <w:r>
              <w:rPr>
                <w:rFonts w:ascii="仿宋_GB2312" w:hAnsi="仿宋_GB2312" w:cs="仿宋_GB2312" w:eastAsia="仿宋_GB2312"/>
                <w:sz w:val="20"/>
                <w:color w:val="0C0C0C"/>
              </w:rPr>
              <w:t xml:space="preserve">2小时内响应，8小时内派专业技术人员到达现场解决问题，最迟在2个工作日内修复。 </w:t>
            </w:r>
            <w:r>
              <w:rPr>
                <w:rFonts w:ascii="仿宋_GB2312" w:hAnsi="仿宋_GB2312" w:cs="仿宋_GB2312" w:eastAsia="仿宋_GB2312"/>
                <w:sz w:val="20"/>
                <w:color w:val="0C0C0C"/>
              </w:rPr>
              <w:t>③</w:t>
            </w:r>
            <w:r>
              <w:rPr>
                <w:rFonts w:ascii="仿宋_GB2312" w:hAnsi="仿宋_GB2312" w:cs="仿宋_GB2312" w:eastAsia="仿宋_GB2312"/>
                <w:sz w:val="20"/>
                <w:color w:val="0C0C0C"/>
              </w:rPr>
              <w:t>质保期内，成交供应商怠于承担保修责任的，甲方有权委托第三方负责维修，由此产生的全部费用由乙方承担。质保期满后，成交供应商仍应向采购人提供及时的、优质的、价格优惠的技术服务，备品备件供应充足，所需费用由采购人承担。</w:t>
            </w:r>
          </w:p>
          <w:p>
            <w:pPr>
              <w:pStyle w:val="null3"/>
              <w:ind w:firstLine="400"/>
            </w:pPr>
            <w:r>
              <w:rPr>
                <w:rFonts w:ascii="仿宋_GB2312" w:hAnsi="仿宋_GB2312" w:cs="仿宋_GB2312" w:eastAsia="仿宋_GB2312"/>
                <w:sz w:val="20"/>
                <w:color w:val="0C0C0C"/>
              </w:rPr>
              <w:t>4、其他要求：投标产品符合车辆管理部门上户标准（</w:t>
            </w:r>
            <w:r>
              <w:rPr>
                <w:rFonts w:ascii="仿宋_GB2312" w:hAnsi="仿宋_GB2312" w:cs="仿宋_GB2312" w:eastAsia="仿宋_GB2312"/>
                <w:sz w:val="20"/>
                <w:color w:val="0C0C0C"/>
              </w:rPr>
              <w:t>合同金额不包含税、保险费及上牌费</w:t>
            </w:r>
            <w:r>
              <w:rPr>
                <w:rFonts w:ascii="仿宋_GB2312" w:hAnsi="仿宋_GB2312" w:cs="仿宋_GB2312" w:eastAsia="仿宋_GB2312"/>
                <w:sz w:val="20"/>
                <w:color w:val="0C0C0C"/>
              </w:rPr>
              <w:t>），供应商交付后如不能上户，采购人有权要求无条件终止合同，一切损失由中标供应商承担。</w:t>
            </w:r>
          </w:p>
          <w:p>
            <w:pPr>
              <w:pStyle w:val="null3"/>
            </w:pPr>
            <w:r>
              <w:rPr>
                <w:rFonts w:ascii="仿宋_GB2312" w:hAnsi="仿宋_GB2312" w:cs="仿宋_GB2312" w:eastAsia="仿宋_GB2312"/>
                <w:sz w:val="22"/>
                <w:b/>
                <w:color w:val="0C0C0C"/>
              </w:rPr>
              <w:t>三、整体服务要求</w:t>
            </w:r>
          </w:p>
          <w:p>
            <w:pPr>
              <w:pStyle w:val="null3"/>
              <w:ind w:firstLine="200"/>
            </w:pPr>
            <w:r>
              <w:rPr>
                <w:rFonts w:ascii="仿宋_GB2312" w:hAnsi="仿宋_GB2312" w:cs="仿宋_GB2312" w:eastAsia="仿宋_GB2312"/>
                <w:sz w:val="20"/>
                <w:color w:val="0C0C0C"/>
              </w:rPr>
              <w:t>（一）人员要求</w:t>
            </w:r>
          </w:p>
          <w:p>
            <w:pPr>
              <w:pStyle w:val="null3"/>
              <w:ind w:firstLine="400"/>
            </w:pPr>
            <w:r>
              <w:rPr>
                <w:rFonts w:ascii="仿宋_GB2312" w:hAnsi="仿宋_GB2312" w:cs="仿宋_GB2312" w:eastAsia="仿宋_GB2312"/>
                <w:sz w:val="20"/>
                <w:color w:val="0C0C0C"/>
              </w:rPr>
              <w:t>1. 项目经理：全面负责项目的各项管理工作，包括制定工作计划、项目的日常管理、协调组织和现场管理、质量管控等。</w:t>
            </w:r>
          </w:p>
          <w:p>
            <w:pPr>
              <w:pStyle w:val="null3"/>
              <w:ind w:firstLine="400"/>
            </w:pPr>
            <w:r>
              <w:rPr>
                <w:rFonts w:ascii="仿宋_GB2312" w:hAnsi="仿宋_GB2312" w:cs="仿宋_GB2312" w:eastAsia="仿宋_GB2312"/>
                <w:sz w:val="20"/>
                <w:color w:val="0C0C0C"/>
              </w:rPr>
              <w:t>2. 技术负责人：应具备丰富的农业废弃物处理经验和技术知识，能够指导项目的技术实施，解决技术难题，并对项目的技术方案进行评审和优化。</w:t>
            </w:r>
          </w:p>
          <w:p>
            <w:pPr>
              <w:pStyle w:val="null3"/>
              <w:ind w:firstLine="400"/>
            </w:pPr>
            <w:r>
              <w:rPr>
                <w:rFonts w:ascii="仿宋_GB2312" w:hAnsi="仿宋_GB2312" w:cs="仿宋_GB2312" w:eastAsia="仿宋_GB2312"/>
                <w:sz w:val="20"/>
                <w:color w:val="0C0C0C"/>
              </w:rPr>
              <w:t>3 . 操作人员：包括运输驾驶人员、设备操作人员等，应熟悉作业机械和操作流程，能够按照项目要求进行操作和维护。同时，这些人员还需要接受相关的安全教育和培训，确保操作过程中的安全。</w:t>
            </w:r>
          </w:p>
          <w:p>
            <w:pPr>
              <w:pStyle w:val="null3"/>
              <w:ind w:firstLine="200"/>
            </w:pPr>
            <w:r>
              <w:rPr>
                <w:rFonts w:ascii="仿宋_GB2312" w:hAnsi="仿宋_GB2312" w:cs="仿宋_GB2312" w:eastAsia="仿宋_GB2312"/>
                <w:sz w:val="20"/>
                <w:color w:val="0C0C0C"/>
              </w:rPr>
              <w:t>（二）专业设备要求</w:t>
            </w:r>
          </w:p>
          <w:p>
            <w:pPr>
              <w:pStyle w:val="null3"/>
              <w:ind w:firstLine="400"/>
            </w:pPr>
            <w:r>
              <w:rPr>
                <w:rFonts w:ascii="仿宋_GB2312" w:hAnsi="仿宋_GB2312" w:cs="仿宋_GB2312" w:eastAsia="仿宋_GB2312"/>
                <w:sz w:val="20"/>
                <w:color w:val="0C0C0C"/>
              </w:rPr>
              <w:t>1. 秸秆处理设备：包括秸秆粉碎机、秸秆打包机等，用于将秸秆进行粉碎便于后续的储存和利用。</w:t>
            </w:r>
          </w:p>
          <w:p>
            <w:pPr>
              <w:pStyle w:val="null3"/>
              <w:ind w:firstLine="400"/>
            </w:pPr>
            <w:r>
              <w:rPr>
                <w:rFonts w:ascii="仿宋_GB2312" w:hAnsi="仿宋_GB2312" w:cs="仿宋_GB2312" w:eastAsia="仿宋_GB2312"/>
                <w:sz w:val="20"/>
                <w:color w:val="0C0C0C"/>
              </w:rPr>
              <w:t>2. 畜禽粪污处理设备：用于将畜禽粪污进行发酵和加工成有机肥，实现资源的循环利用。</w:t>
            </w:r>
          </w:p>
          <w:p>
            <w:pPr>
              <w:pStyle w:val="null3"/>
              <w:ind w:firstLine="400"/>
            </w:pPr>
            <w:r>
              <w:rPr>
                <w:rFonts w:ascii="仿宋_GB2312" w:hAnsi="仿宋_GB2312" w:cs="仿宋_GB2312" w:eastAsia="仿宋_GB2312"/>
                <w:sz w:val="20"/>
                <w:color w:val="0C0C0C"/>
              </w:rPr>
              <w:t>3. 运输设备：包括农用车、货车等，用于将处理后的秸秆和有机肥进行运输，满足项目的实际需求。</w:t>
            </w:r>
          </w:p>
          <w:p>
            <w:pPr>
              <w:pStyle w:val="null3"/>
              <w:ind w:firstLine="200"/>
            </w:pPr>
            <w:r>
              <w:rPr>
                <w:rFonts w:ascii="仿宋_GB2312" w:hAnsi="仿宋_GB2312" w:cs="仿宋_GB2312" w:eastAsia="仿宋_GB2312"/>
                <w:sz w:val="20"/>
                <w:color w:val="0C0C0C"/>
              </w:rPr>
              <w:t>（三）服务标准</w:t>
            </w:r>
          </w:p>
          <w:p>
            <w:pPr>
              <w:pStyle w:val="null3"/>
              <w:ind w:firstLine="400"/>
            </w:pPr>
            <w:r>
              <w:rPr>
                <w:rFonts w:ascii="仿宋_GB2312" w:hAnsi="仿宋_GB2312" w:cs="仿宋_GB2312" w:eastAsia="仿宋_GB2312"/>
                <w:sz w:val="20"/>
                <w:color w:val="0C0C0C"/>
              </w:rPr>
              <w:t>1. 处理效率：确保项目能够高效处理农林废弃物，提高资源的利用率和回收率。</w:t>
            </w:r>
          </w:p>
          <w:p>
            <w:pPr>
              <w:pStyle w:val="null3"/>
              <w:ind w:firstLine="400"/>
            </w:pPr>
            <w:r>
              <w:rPr>
                <w:rFonts w:ascii="仿宋_GB2312" w:hAnsi="仿宋_GB2312" w:cs="仿宋_GB2312" w:eastAsia="仿宋_GB2312"/>
                <w:sz w:val="20"/>
                <w:color w:val="0C0C0C"/>
              </w:rPr>
              <w:t xml:space="preserve">2. 环保达标：在处理过程中，应严格遵守环保法规和标准，确保处理后的废弃物不会对环境和人体健康造成危害。  </w:t>
            </w:r>
          </w:p>
          <w:p>
            <w:pPr>
              <w:pStyle w:val="null3"/>
              <w:ind w:firstLine="400"/>
            </w:pPr>
            <w:r>
              <w:rPr>
                <w:rFonts w:ascii="仿宋_GB2312" w:hAnsi="仿宋_GB2312" w:cs="仿宋_GB2312" w:eastAsia="仿宋_GB2312"/>
                <w:sz w:val="20"/>
                <w:color w:val="0C0C0C"/>
              </w:rPr>
              <w:t>3. 技术先进：采用先进的技术和工艺，提高处理效果和产品质量，降低处理成本。</w:t>
            </w:r>
          </w:p>
          <w:p>
            <w:pPr>
              <w:pStyle w:val="null3"/>
              <w:jc w:val="both"/>
            </w:pPr>
            <w:r>
              <w:rPr>
                <w:rFonts w:ascii="仿宋_GB2312" w:hAnsi="仿宋_GB2312" w:cs="仿宋_GB2312" w:eastAsia="仿宋_GB2312"/>
                <w:sz w:val="20"/>
                <w:color w:val="0C0C0C"/>
              </w:rPr>
              <w:t xml:space="preserve">    4. 服务质量：提供优质的服务，包括技术咨询、设备维护、操作培训等，确保项目的顺利实施和长期稳定运行。</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满足采购需求及采购人要求。</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自合同签订之日起12个月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满足现行的国家标准或国家行政部门颁布的法律法规、规章制度。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80.00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详见合同条款</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试点应用工作，供应商需要在线提交所有通过电子化交易平台实施的政府采购项目的响应文件，发布中标结果公告后，中标供应商应及时向采购代理机构提交一正二副，书籍（胶装）方式装订的盖章的纸质文件，若正本和副本不一致的，以正本为准。送至西安市雁塔区雁翔路 111 号中京坊公寓 B 座 623 室。（2）供应商务必在开标截止时间30分钟前，通过项目电子化交易系统进行签到，如未进行签到，产生的一切后果由供应商自行承担。（3）供应商的投标报价包括人工费，管理费，税费等所有费用，并符合计价规则。（4）签名是指手写签名或者加盖名章，盖章是指加盖单位印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提供书面承诺函。供应商需在项目电子化交易系统中按要求上传相应证明文件并进行电子签章。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①如法定代表人参加投标，应出具《法定代表人身份证明书》及本人有效身份证件，其信息须与供应商营业执照登记的法定代表人信息一致；②如由授权代表参加投标，应出具《法定代表人授权委托书》、法定代表人及被授权人本人有效身份证件，授权书中应明确授权范围、期限及项目名称。</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 na.gov.cn）中列入失信被执行人和重大税收违法失信主体名单的供应商，不得为中国政府采购网（www.ccgp.gov.cn）政府采购严重违法失信行为记录名单中被财政部门禁止参加政府采购活动的供应商。 投标人通过“信用中国”网站(www.creditchina.gov.cn)和中国政府采购网(www.ccgp.gov.cn) 查询相关主体信用记录，查询节点应在采购文件获取期至投标文件递交截止时间之间。（投标人可将“信用中国”网站“中国政府采购网”网页查询截图加盖投标人公章附在投标文件中，采购人、采购代理机构有权在评标现场对各投标人信用记录情况进行甄别查询，对被列入失信被执行人、政府采购严重违法失信行为记录名单及其他不符合《中华人民共和国政府采购法》第二十二条规定条件的投标人，将拒绝其参与政府采购活动,并对查询结果予以截图留存。）</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本项目不接受联合体投标(投标主体为单一供应商)。</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投标文件的完整性、有效性、响应性</w:t>
            </w:r>
          </w:p>
        </w:tc>
        <w:tc>
          <w:tcPr>
            <w:tcW w:type="dxa" w:w="3322"/>
          </w:tcPr>
          <w:p>
            <w:pPr>
              <w:pStyle w:val="null3"/>
            </w:pPr>
            <w:r>
              <w:rPr>
                <w:rFonts w:ascii="仿宋_GB2312" w:hAnsi="仿宋_GB2312" w:cs="仿宋_GB2312" w:eastAsia="仿宋_GB2312"/>
              </w:rPr>
              <w:t>投标文件是否按照招标文件要求的格式编写。投标文件的签署、加盖印章是否有效。投标报价是否未超过采购预算；投标报价有效期是否符合招标文件的要求；是否满足招标文件的实质性要求（服务期、交货期是否满足要求）。</w:t>
            </w:r>
          </w:p>
        </w:tc>
        <w:tc>
          <w:tcPr>
            <w:tcW w:type="dxa" w:w="1661"/>
          </w:tcPr>
          <w:p>
            <w:pPr>
              <w:pStyle w:val="null3"/>
            </w:pPr>
            <w:r>
              <w:rPr>
                <w:rFonts w:ascii="仿宋_GB2312" w:hAnsi="仿宋_GB2312" w:cs="仿宋_GB2312" w:eastAsia="仿宋_GB2312"/>
              </w:rPr>
              <w:t>业绩.docx 开标一览表 分项报价表.docx 投标函 中小企业声明函 商务应答表 标的清单 投标文件封面 服务内容及服务邀请应答表.docx 资格证明文件.docx 服务方案.docx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项目理解及重难点分析</w:t>
            </w:r>
          </w:p>
        </w:tc>
        <w:tc>
          <w:tcPr>
            <w:tcW w:type="dxa" w:w="2492"/>
          </w:tcPr>
          <w:p>
            <w:pPr>
              <w:pStyle w:val="null3"/>
            </w:pPr>
            <w:r>
              <w:rPr>
                <w:rFonts w:ascii="仿宋_GB2312" w:hAnsi="仿宋_GB2312" w:cs="仿宋_GB2312" w:eastAsia="仿宋_GB2312"/>
              </w:rPr>
              <w:t>根据供应商针对本项目的理解（包括①本项目的实施环境及条件②服务范围③保障措施④重难点问题分析）进行综合评审：每一项得3分，满分12分。每有一处不完善或存在瑕疵扣1分，扣完为止，缺项不得分。 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项目总体实施方案（包括项目的①宣传方案②成果展示方案③废弃物回收点设置、农业废弃物标准化分类收集、贮存、规范化转运方案④农业废弃物专业化处理方案⑤作业机具分配方案⑥安全文明作业控制措施⑦针对恶劣天气、重大节假日及活动及突发事件的应急预案⑧后期的农废培训方案）进行综合评审：方案详实、理解准确、科学合理、符合本次实际需求及项目情况，每一项得3分，满分24分。每有一处不完善或存在瑕疵扣1分，扣完为止，缺项不得分。 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进度保障措施</w:t>
            </w:r>
          </w:p>
        </w:tc>
        <w:tc>
          <w:tcPr>
            <w:tcW w:type="dxa" w:w="2492"/>
          </w:tcPr>
          <w:p>
            <w:pPr>
              <w:pStyle w:val="null3"/>
            </w:pPr>
            <w:r>
              <w:rPr>
                <w:rFonts w:ascii="仿宋_GB2312" w:hAnsi="仿宋_GB2312" w:cs="仿宋_GB2312" w:eastAsia="仿宋_GB2312"/>
              </w:rPr>
              <w:t>根据供应商提供的项目进度计划措施（包括①详细进度计划②现场管理方案③进度计划保证措施）进行综合评审：项目进度计划及保证措施全面、可行、有针对性的，每一项得2分，满分6分。每有一处不完善或存在瑕疵扣1分，扣完为止，缺项不得分。 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根据供应商提供的服务质量保证措施（包括①服务质量保证体系②服务质量保证措施内容及安排③服务质量过程控制）进行综合评审，措施合理，内容齐全、措施得当，每一项得2分，满分6分。每有一处不完善或存在瑕疵扣1分，扣完为止，缺项不得分。 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服务团队</w:t>
            </w:r>
          </w:p>
        </w:tc>
        <w:tc>
          <w:tcPr>
            <w:tcW w:type="dxa" w:w="2492"/>
          </w:tcPr>
          <w:p>
            <w:pPr>
              <w:pStyle w:val="null3"/>
            </w:pPr>
            <w:r>
              <w:rPr>
                <w:rFonts w:ascii="仿宋_GB2312" w:hAnsi="仿宋_GB2312" w:cs="仿宋_GB2312" w:eastAsia="仿宋_GB2312"/>
              </w:rPr>
              <w:t>根据供应商为本项目所配备的专业技术团队人员的①专业水平（农业、环境工程等）及岗位设置②人员组成及经验，进行综合评审：团队人员结构合理，专业能力强，符合项目需求，每一项得2分，满分4分。每有一处不满足或不符合项目需求扣1分，扣完为止，缺项不得分。 注：团队人员须为本单位人员。</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车辆技术指标</w:t>
            </w:r>
          </w:p>
        </w:tc>
        <w:tc>
          <w:tcPr>
            <w:tcW w:type="dxa" w:w="2492"/>
          </w:tcPr>
          <w:p>
            <w:pPr>
              <w:pStyle w:val="null3"/>
            </w:pPr>
            <w:r>
              <w:rPr>
                <w:rFonts w:ascii="仿宋_GB2312" w:hAnsi="仿宋_GB2312" w:cs="仿宋_GB2312" w:eastAsia="仿宋_GB2312"/>
              </w:rPr>
              <w:t>供应商应按招标文件“第三章 招标项目技术、服务、商务及其他要求中3.2.2服务要求—技术参数与性能指标—“二、技术要求”—“（二）采购车辆技术参数”中：物料粉碎车、单排座轻型栏板卡车、树枝粉碎收集三轮车的技术要求提供相关证明材料（包括但不限于工信部公告或检测报告或产品彩页或厂家出具的技术证明文件或功能截图等技术证明材料）。 完全符合技术参数要求的得20分。每有一项负偏离的扣0.5分，最多扣20分。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车辆供货方案</w:t>
            </w:r>
          </w:p>
        </w:tc>
        <w:tc>
          <w:tcPr>
            <w:tcW w:type="dxa" w:w="2492"/>
          </w:tcPr>
          <w:p>
            <w:pPr>
              <w:pStyle w:val="null3"/>
            </w:pPr>
            <w:r>
              <w:rPr>
                <w:rFonts w:ascii="仿宋_GB2312" w:hAnsi="仿宋_GB2312" w:cs="仿宋_GB2312" w:eastAsia="仿宋_GB2312"/>
              </w:rPr>
              <w:t>根据供应商所提供的供货方案（包括①供货时间安排②货物采购、运输条件及运输方案③运输管理制度④装卸安排及验收）进行综合评审：方案科学合理、详实全面，能满足采购需求的，每一项得2分，满分8分。每有一处不完善或存在瑕疵扣1分，扣完为止，缺项不得分。 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车辆质量保证承诺</w:t>
            </w:r>
          </w:p>
        </w:tc>
        <w:tc>
          <w:tcPr>
            <w:tcW w:type="dxa" w:w="2492"/>
          </w:tcPr>
          <w:p>
            <w:pPr>
              <w:pStyle w:val="null3"/>
            </w:pPr>
            <w:r>
              <w:rPr>
                <w:rFonts w:ascii="仿宋_GB2312" w:hAnsi="仿宋_GB2312" w:cs="仿宋_GB2312" w:eastAsia="仿宋_GB2312"/>
              </w:rPr>
              <w:t>根据供应商提供的质量保证承诺（承诺内容包括① 投标产品无假货、水货、翻新货②投标产品无不良市场反馈③投标产品检验手续合法有效，且无产权纠纷）进行综合评审。质量保证承诺内容完整，结构清晰，科学合理， 能满足项目需求，每有一项得1分，满分3分。每有一处不完善或存在瑕疵扣0.5分，扣完为止，缺项不得分。 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车辆售后服务承诺</w:t>
            </w:r>
          </w:p>
        </w:tc>
        <w:tc>
          <w:tcPr>
            <w:tcW w:type="dxa" w:w="2492"/>
          </w:tcPr>
          <w:p>
            <w:pPr>
              <w:pStyle w:val="null3"/>
            </w:pPr>
            <w:r>
              <w:rPr>
                <w:rFonts w:ascii="仿宋_GB2312" w:hAnsi="仿宋_GB2312" w:cs="仿宋_GB2312" w:eastAsia="仿宋_GB2312"/>
              </w:rPr>
              <w:t>根据供应商提供的售后服务方案（包括①售后服务承诺②服务响应时间及人员安排③上门服务方案）进行综合评审。方案科学合理、详实全面，能满足采购需求的，每一项得1分，满分3分。每有一处不完善或存在瑕疵扣0.5分，扣完为止，缺项不得分。 注：瑕疵”指内容明显错误，或内容表述前后矛盾或内容不完整或表达简单笼统或缺少关键点，或不适用本项目特性 、套用其他项目内容或内容不能满足本项目实际需求等任意一种情形。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环境标志产品</w:t>
            </w:r>
          </w:p>
        </w:tc>
        <w:tc>
          <w:tcPr>
            <w:tcW w:type="dxa" w:w="2492"/>
          </w:tcPr>
          <w:p>
            <w:pPr>
              <w:pStyle w:val="null3"/>
            </w:pPr>
            <w:r>
              <w:rPr>
                <w:rFonts w:ascii="仿宋_GB2312" w:hAnsi="仿宋_GB2312" w:cs="仿宋_GB2312" w:eastAsia="仿宋_GB2312"/>
              </w:rPr>
              <w:t>所投产品属于环境标志产品的每一个得1分，最高得1分。 注：响应产品属于《环境标志产品政府采购品目清单》中的产品，供应商提供由国家确定的认证机构出具的、处于有效期之内的环境标志产品认证证书的原件扫描件或“全国认证认可信息公共服务平台” （http://cx.cnca.cn ）的认证信息截图盖公章。</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供应商提供2022年1月1日以来承接过类似项目的合同证明材料（以合同的签订日期为准）（每提供一个得1分，满分3分）。（合同内容须清晰可辨认，无涂改，否则视为无效合同）。</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采用低价优先法计算，满足招标文件要求且价格最低报价的为评标基准价，其价格分为满分。其他供应商的价格分按照以下公式计算：报价得分=(评标基准价／投标报价)×10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详见附件：拟签订的合同文本.docx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