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版本号：ZCBN-鄠邑区-2026-0002820260205001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鄠邑区城市污水管网连通升级改造地勘测绘及设计服务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ZCBN-鄠邑区-2026-00028</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鄠邑区城市污水管网连通升级改造地勘测绘及设计服务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ZCBN-鄠邑区-2026-00028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鄠邑区城市污水管网连通升级改造地勘测绘及设计服务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鄠邑区城市污水管网连通升级改造项目地勘测绘及设计服务。建设规模和主要建设内容:新建DN500-d800mm污水管道，总长度约2.85km;新建一体化提升泵站1座，内设潜污泵3台;新建污水截流井2座、闸门井3座;配套设置检修、排气及供电控制等设施。最大调水能力为2万m³/d。</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3、缴纳税收：提供投标截止日前一年内已缴纳的至少一个月的纳税证明或完税证明，依法免税的单位应提供相关证明材料；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4、社会保障资金缴纳证明：提供投标截止日前一年内已缴存的至少一个月的社会保障资金缴存单据或社保机构开具的社会保险参保缴费情况证明，依法不需要缴纳社会保障资金的单位应提供相关证明材料；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5、书面声明：参加本次采购前3年内，在经营活动中没有重大违法记录的书面声明；</w:t>
      </w:r>
    </w:p>
    <w:p>
      <w:pPr>
        <w:pStyle w:val="null3"/>
      </w:pPr>
      <w:r>
        <w:rPr>
          <w:rFonts w:ascii="仿宋_GB2312" w:hAnsi="仿宋_GB2312" w:cs="仿宋_GB2312" w:eastAsia="仿宋_GB2312"/>
        </w:rPr>
        <w:t>6、信誉情况：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投标人应授权合法的人员参加本项目开标活动全过程：法定代表人直接参加的须提供法定代表人身份证并与营业执照上信息一致；法定代表人授权代表参加的须提供法定代表人授权书及被授权人在本单位证明（养老保险缴纳证明或劳动合同）；</w:t>
      </w:r>
    </w:p>
    <w:p>
      <w:pPr>
        <w:pStyle w:val="null3"/>
      </w:pPr>
      <w:r>
        <w:rPr>
          <w:rFonts w:ascii="仿宋_GB2312" w:hAnsi="仿宋_GB2312" w:cs="仿宋_GB2312" w:eastAsia="仿宋_GB2312"/>
        </w:rPr>
        <w:t>8、企业资质：供应商须同时具备以下资质：1.具备【工程设计综合资质甲级】或【市政行业工程设计乙级及以上】或【市政行业（排水工程）专业乙级及以上】资质，2.具备工程勘察综合甲级资质或工程勘察专业(岩土工程、工程测量)乙级及以上资质，并在人员、设备、资金等方面具备相应的能力；</w:t>
      </w:r>
    </w:p>
    <w:p>
      <w:pPr>
        <w:pStyle w:val="null3"/>
      </w:pPr>
      <w:r>
        <w:rPr>
          <w:rFonts w:ascii="仿宋_GB2312" w:hAnsi="仿宋_GB2312" w:cs="仿宋_GB2312" w:eastAsia="仿宋_GB2312"/>
        </w:rPr>
        <w:t>9、拟派项目负责人：须具备相关专业中级及以上职称；</w:t>
      </w:r>
    </w:p>
    <w:p>
      <w:pPr>
        <w:pStyle w:val="null3"/>
      </w:pPr>
      <w:r>
        <w:rPr>
          <w:rFonts w:ascii="仿宋_GB2312" w:hAnsi="仿宋_GB2312" w:cs="仿宋_GB2312" w:eastAsia="仿宋_GB2312"/>
        </w:rPr>
        <w:t>10、供应商履行合同所必需的设备和专业技术能力：供应商须具有履行合同所必需的设备和专业技术能力，须附相关证明材料或书面声明；</w:t>
      </w:r>
    </w:p>
    <w:p>
      <w:pPr>
        <w:pStyle w:val="null3"/>
      </w:pPr>
      <w:r>
        <w:rPr>
          <w:rFonts w:ascii="仿宋_GB2312" w:hAnsi="仿宋_GB2312" w:cs="仿宋_GB2312" w:eastAsia="仿宋_GB2312"/>
        </w:rPr>
        <w:t>11、单位负责人为同一人或者存在控股、管理关系的不同单位不得同时参加：单位负责人为同一人或者存在控股、管理关系的不同单位不得同时参加。</w:t>
      </w:r>
    </w:p>
    <w:p>
      <w:pPr>
        <w:pStyle w:val="null3"/>
      </w:pPr>
      <w:r>
        <w:rPr>
          <w:rFonts w:ascii="仿宋_GB2312" w:hAnsi="仿宋_GB2312" w:cs="仿宋_GB2312" w:eastAsia="仿宋_GB2312"/>
        </w:rPr>
        <w:t>12、本项目接受联合体投标：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029-84835136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陕西省咸阳市秦都区西里路以西亨浩集团6楼西侧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招标代理服务收费管理暂行办法的通知》（计价格【2002】1980号）和《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地址：陕西省咸阳市秦都区西里路以西亨浩集团6楼西侧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鄠邑区城市污水管网连通升级改造项目地勘测绘及设计服务。建设规模和主要建设内容:新建DN500-d800mm污水管道，总长度约2.85km;新建一体化提升泵站1座，内设潜污泵3台;新建污水截流井2座、闸门井3座;配套设置检修、排气及供电控制等设施。最大调水能力为2万m³/d。</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996,400.00</w:t>
      </w:r>
    </w:p>
    <w:p>
      <w:pPr>
        <w:pStyle w:val="null3"/>
      </w:pPr>
      <w:r>
        <w:rPr>
          <w:rFonts w:ascii="仿宋_GB2312" w:hAnsi="仿宋_GB2312" w:cs="仿宋_GB2312" w:eastAsia="仿宋_GB2312"/>
        </w:rPr>
        <w:t>采购包最高限价（元）: 921,400.00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城市污水管网连通升级改造工程前期地勘测绘及设计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996,400.00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标的名称：城市污水管网连通升级改造工程前期地勘测绘及设计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地勘测绘：地形测绘比例尺≥1:500，覆盖全部建设区域；地质勘察数据真实准确，满足设计及施工安全要求；地下管线探测无遗漏，成果清晰可查。</w:t>
            </w:r>
          </w:p>
          <w:p>
            <w:pPr>
              <w:pStyle w:val="null3"/>
            </w:pPr>
            <w:r>
              <w:rPr>
                <w:rFonts w:ascii="仿宋_GB2312" w:hAnsi="仿宋_GB2312" w:cs="仿宋_GB2312" w:eastAsia="仿宋_GB2312"/>
              </w:rPr>
              <w:t>- 管网工程：新建DN500-</w:t>
            </w:r>
            <w:r>
              <w:rPr>
                <w:rFonts w:ascii="仿宋_GB2312" w:hAnsi="仿宋_GB2312" w:cs="仿宋_GB2312" w:eastAsia="仿宋_GB2312"/>
              </w:rPr>
              <w:t>d</w:t>
            </w:r>
            <w:r>
              <w:rPr>
                <w:rFonts w:ascii="仿宋_GB2312" w:hAnsi="仿宋_GB2312" w:cs="仿宋_GB2312" w:eastAsia="仿宋_GB2312"/>
              </w:rPr>
              <w:t>800mm污水管道，总长度约2.85km，管道排水能力适配最大调水2×10⁴m³/d，管材及接口选型符合污水输送标准，抗腐蚀、密封性达标。</w:t>
            </w:r>
          </w:p>
          <w:p>
            <w:pPr>
              <w:pStyle w:val="null3"/>
            </w:pPr>
            <w:r>
              <w:rPr>
                <w:rFonts w:ascii="仿宋_GB2312" w:hAnsi="仿宋_GB2312" w:cs="仿宋_GB2312" w:eastAsia="仿宋_GB2312"/>
              </w:rPr>
              <w:t>- 泵站工程：一体化提升泵站1座，内设3台潜污泵，泵组运行稳定，提升能力满足管网输水需求，噪音、能耗符合行业规范。</w:t>
            </w:r>
          </w:p>
          <w:p>
            <w:pPr>
              <w:pStyle w:val="null3"/>
            </w:pPr>
            <w:r>
              <w:rPr>
                <w:rFonts w:ascii="仿宋_GB2312" w:hAnsi="仿宋_GB2312" w:cs="仿宋_GB2312" w:eastAsia="仿宋_GB2312"/>
              </w:rPr>
              <w:t>- 附属设施：污水截流井、闸门井结构安全，功能可靠；检修、排气、供电控制设施适配主体工程，运行便捷、安全可控。</w:t>
            </w:r>
          </w:p>
          <w:p>
            <w:pPr>
              <w:pStyle w:val="null3"/>
            </w:pPr>
            <w:r>
              <w:rPr>
                <w:rFonts w:ascii="仿宋_GB2312" w:hAnsi="仿宋_GB2312" w:cs="仿宋_GB2312" w:eastAsia="仿宋_GB2312"/>
                <w:sz w:val="21"/>
              </w:rPr>
              <w:t>- 成果质量：地勘、设计成果完整合规，通过相关部门审批及施工图审查，满足项目施工及验收要求。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乙方完成全部地勘测绘成果交付（含地形测量图）通过甲方审核后，支付至合同额的50.00%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乙方提交全套施工图设计文件+ 设计交底完成，经甲方最终验收合格后，支付至合同额的90.00%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竣工验收完成后,甲方向乙方一次性付清所有费用支付至合同额的100.00%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2.供应商未按合同要求提供货物与服务或货物与服务质量未达到合同约定的，采购人有权终止合同。因中标人原因对采购人造成经济损失的，采购人有权进行追责。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最高限价为921400.00元，其中设计最高限价：796700.00元，地勘最高限价：114700.00元，测绘最高限价：10000.00元。2.本项目通过电子化交易系统协商，供应商需在电子化交易系统上传响应的文件。成交供应商领取中标（成交）通知书时，向采购代理机构提供一正两副纸质响应文件及电子U盘2个（签字盖章扫描PDF和word文档格式，U盘存储）。 3.供应商应自协商文件递交截止时间起至磋商结束，保持在线状态。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提供投标截止日前一年内已缴纳的至少一个月的纳税证明或完税证明，依法免税的单位应提供相关证明材料；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参加本次采购前3年内，在经营活动中没有重大违法记录的书面声明；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法定代表人直接参加的须提供法定代表人身份证并与营业执照上信息一致；法定代表人授权代表参加的须提供法定代表人授权书及被授权人在本单位证明（养老保险缴纳证明或劳动合同）；</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同时具备以下资质：1.具备【工程设计综合资质甲级】或【市政行业工程设计乙级及以上】或【市政行业（排水工程）专业乙级及以上】资质，2.具备工程勘察综合甲级资质或工程勘察专业(岩土工程、工程测量)乙级及以上资质，并在人员、设备、资金等方面具备相应的能力；</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须具备相关专业中级及以上职称；</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供应商须具有履行合同所必需的设备和专业技术能力，须附相关证明材料或书面声明；</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单位负责人为同一人或者存在控股、管理关系的不同单位不得同时参加</w:t>
            </w:r>
          </w:p>
        </w:tc>
        <w:tc>
          <w:tcPr>
            <w:tcW w:type="dxa" w:w="3322"/>
          </w:tcPr>
          <w:p>
            <w:pPr>
              <w:pStyle w:val="null3"/>
            </w:pPr>
            <w:r>
              <w:rPr>
                <w:rFonts w:ascii="仿宋_GB2312" w:hAnsi="仿宋_GB2312" w:cs="仿宋_GB2312" w:eastAsia="仿宋_GB2312"/>
              </w:rPr>
              <w:t>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tc>
        <w:tc>
          <w:tcPr>
            <w:tcW w:type="dxa" w:w="1661"/>
          </w:tcPr>
          <w:p>
            <w:pPr>
              <w:pStyle w:val="null3"/>
            </w:pPr>
            <w:r>
              <w:rPr>
                <w:rFonts w:ascii="仿宋_GB2312" w:hAnsi="仿宋_GB2312" w:cs="仿宋_GB2312" w:eastAsia="仿宋_GB2312"/>
              </w:rPr>
              <w:t>供应商资格要求.docx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服务承诺.docx 供应商应提交的相关资格证明材料 报价表 测绘方案.docx 供应商业绩证明材料.docx 响应文件封面 分项报价表.docx 供应商资格要求.docx 残疾人福利性单位声明函 地勘方案.docx 重难点分析.docx 服务方案 标的清单 响应函 设计方案.docx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注：本项目最高限价为921400.00元，其中设计最高限价：796700.00元，地勘最高限价：114700.00元，测绘最高限价：10000.00元。）。</w:t>
            </w:r>
          </w:p>
        </w:tc>
        <w:tc>
          <w:tcPr>
            <w:tcW w:type="dxa" w:w="1661"/>
          </w:tcPr>
          <w:p>
            <w:pPr>
              <w:pStyle w:val="null3"/>
            </w:pPr>
            <w:r>
              <w:rPr>
                <w:rFonts w:ascii="仿宋_GB2312" w:hAnsi="仿宋_GB2312" w:cs="仿宋_GB2312" w:eastAsia="仿宋_GB2312"/>
              </w:rPr>
              <w:t>分项报价表.docx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地勘方案</w:t>
            </w:r>
          </w:p>
        </w:tc>
        <w:tc>
          <w:tcPr>
            <w:tcW w:type="dxa" w:w="2492"/>
          </w:tcPr>
          <w:p>
            <w:pPr>
              <w:pStyle w:val="null3"/>
            </w:pPr>
            <w:r>
              <w:rPr>
                <w:rFonts w:ascii="仿宋_GB2312" w:hAnsi="仿宋_GB2312" w:cs="仿宋_GB2312" w:eastAsia="仿宋_GB2312"/>
              </w:rPr>
              <w:t>一、评审内容：针对本项目提出适用于本项目的地勘方案，方案包括但不限于：①地勘术路线与方法；②地勘进度计划及质量保障措施；③地勘成果交付。 二、评审标准：1、完整性：方案必须全面，对评审内容中的各项要求有详细描述；2、可实施性：切合本项目实际情况，提出步骤清晰、合理的方案； 3、针对性：方案能够紧扣本项目实际情况，内容科学合理。 三、赋分标准：（满分18分） ①地勘技术路线与方法：每完全满足一个评审标准得2分，满分6分；②地勘进度计划及质量保障措施：每完全满足一个评审标准得2分，满分6分；③地勘成果交付：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地勘方案.docx</w:t>
            </w:r>
          </w:p>
        </w:tc>
      </w:tr>
      <w:tr>
        <w:tc>
          <w:tcPr>
            <w:tcW w:type="dxa" w:w="831"/>
            <w:vMerge/>
          </w:tcPr>
          <w:p/>
        </w:tc>
        <w:tc>
          <w:tcPr>
            <w:tcW w:type="dxa" w:w="1661"/>
          </w:tcPr>
          <w:p>
            <w:pPr>
              <w:pStyle w:val="null3"/>
            </w:pPr>
            <w:r>
              <w:rPr>
                <w:rFonts w:ascii="仿宋_GB2312" w:hAnsi="仿宋_GB2312" w:cs="仿宋_GB2312" w:eastAsia="仿宋_GB2312"/>
              </w:rPr>
              <w:t>测绘方案</w:t>
            </w:r>
          </w:p>
        </w:tc>
        <w:tc>
          <w:tcPr>
            <w:tcW w:type="dxa" w:w="2492"/>
          </w:tcPr>
          <w:p>
            <w:pPr>
              <w:pStyle w:val="null3"/>
            </w:pPr>
            <w:r>
              <w:rPr>
                <w:rFonts w:ascii="仿宋_GB2312" w:hAnsi="仿宋_GB2312" w:cs="仿宋_GB2312" w:eastAsia="仿宋_GB2312"/>
              </w:rPr>
              <w:t>一、评审内容：针对本项目提出适用于本项目的测绘方案，方案包括但不限于：①测绘技术路线与方法；②测绘进度计划及质量保障措施；③测绘成果交付。 二、评审标准：1、完整性：方案必须全面，对评审内容中的各项要求有详细描述；2、可实施性：切合本项目实际情况，提出步骤清晰、合理的方案； 3、针对性：方案能够紧扣本项目实际情况，内容科学合理。 三、赋分标准：（满分18分） ①测绘技术路线与方法：每完全满足一个评审标准得2分，满分6分；②测绘进度计划及质量保障措施：每完全满足一个评审标准得2分，满分6分；③测绘成果交付：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测绘方案.docx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一、评审内容：针对本项目提出适用于本项目的测设计方案，方案包括但不限于：①设计依据；②设计工作目标及内容；③设计进度保证措施；④设计成本控制措施；⑤设计变更预案。 二、评审标准：1、完整性：方案必须全面，对评审内容中的各项要求有详细描述；2、可实施性：切合本项目实际情况，提出步骤清晰、合理的方案； 3、针对性：方案能够紧扣本项目实际情况，内容科学合理。 三、赋分标准：（满分30分） ①设计依据：每完全满足一个评审标准得2分，满分6分；②设计工作目标及内容：每完全满足一个评审标准得2分，满分6分；③设计进度保证措施：每完全满足一个评审标准得2分，满分6分；④设计成本控制措施：每完全满足一个评审标准得2分，满分6分；⑤设计变更预案：每完全满足一个评审标准得2分，满分6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一、评审内容：针对本项目作出适用于本项目的重难点分析，内容包括但不限于：①重点难点分析；②应对措施。 二、评审标准：1、可实施性：内容全面，对评审内容中的各项要求有详细描述，切合本项目实际情况； 2、针对性：方案能够紧扣本项目实际情况，内容科学合理。 三、赋分标准：（满分8分） ①重点难点分析：每完全满足一个评审标准得2分，满分4分；②应对措施：每完全满足一个评审标准得2分，满分4分；每有一项评审内容存在缺陷的扣（0-2）分，扣完为止。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重难点分析.docx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一、评审内容：①针对本项目对服务期限、进度、人员到位情况、工作底稿准确规范性、成果文件一致性及本项目后续配合服务作出实质性承诺（应包含不能完全履行承诺时愿意接受相关处罚的承诺）。 二、评审标准：1、完整性：内容必须全面，对评审内容中的各项要求有详细描述且切合本项目实际情况；2、针对性：内容能够紧扣本项目实际情况，内容科学合理。 三、赋分标准：（满分6分） 完全满足评审标准得3分，满分6分；存在缺陷的扣（0-3）分，扣完为止。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供应商提供2023年1月1日至今（以签订的合同日期为准）类似项目业绩合同证明材料（合同复印件加盖公章），每提供一个业绩合同证明材料得2分，最高10分。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供应商业绩证明材料.docx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基准价，其价格分为满分。其他投标人的价格分统一按照下列公式计算：价格分=(基准价／投标报价)×10。满足落实政府采购相关政策的,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供应商资格要求.docx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供应商资格要求.docx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详见附件：地勘方案.docx</w:t>
      </w:r>
    </w:p>
    <w:p>
      <w:pPr>
        <w:pStyle w:val="null3"/>
        <w:ind w:firstLine="960"/>
      </w:pPr>
      <w:r>
        <w:rPr>
          <w:rFonts w:ascii="仿宋_GB2312" w:hAnsi="仿宋_GB2312" w:cs="仿宋_GB2312" w:eastAsia="仿宋_GB2312"/>
        </w:rPr>
        <w:t>详见附件：测绘方案.docx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详见附件：重难点分析.docx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