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版本号：ZCBN-鄠邑区-2026-0002320260205001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鄠邑区再生水综合利用（二期、三期）管网工程测绘及设计服务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ZCBN-鄠邑区-2026-00023</w:t>
      </w:r>
      <w:r>
        <w:br/>
      </w:r>
      <w:r>
        <w:br/>
      </w:r>
      <w:r>
        <w:br/>
      </w:r>
    </w:p>
    <w:p>
      <w:pPr>
        <w:pStyle w:val="null3"/>
        <w:jc w:val="center"/>
        <w:outlineLvl w:val="2"/>
      </w:pPr>
      <w:r>
        <w:rPr>
          <w:rFonts w:ascii="仿宋_GB2312" w:hAnsi="仿宋_GB2312" w:cs="仿宋_GB2312" w:eastAsia="仿宋_GB2312"/>
          <w:sz w:val="28"/>
          <w:b/>
        </w:rPr>
        <w:t>西安市鄠邑区水务局</w:t>
      </w:r>
    </w:p>
    <w:p>
      <w:pPr>
        <w:pStyle w:val="null3"/>
        <w:jc w:val="center"/>
        <w:outlineLvl w:val="2"/>
      </w:pPr>
      <w:r>
        <w:rPr>
          <w:rFonts w:ascii="仿宋_GB2312" w:hAnsi="仿宋_GB2312" w:cs="仿宋_GB2312" w:eastAsia="仿宋_GB2312"/>
          <w:sz w:val="28"/>
          <w:b/>
        </w:rPr>
        <w:t>知含国际工程咨询有限公司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知含国际工程咨询有限公司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西安市鄠邑区水务局</w:t>
      </w:r>
      <w:r>
        <w:rPr>
          <w:rFonts w:ascii="仿宋_GB2312" w:hAnsi="仿宋_GB2312" w:cs="仿宋_GB2312" w:eastAsia="仿宋_GB2312"/>
        </w:rPr>
        <w:t>委托，拟对</w:t>
      </w:r>
      <w:r>
        <w:rPr>
          <w:rFonts w:ascii="仿宋_GB2312" w:hAnsi="仿宋_GB2312" w:cs="仿宋_GB2312" w:eastAsia="仿宋_GB2312"/>
        </w:rPr>
        <w:t>鄠邑区再生水综合利用（二期、三期）管网工程测绘及设计服务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ZCBN-鄠邑区-2026-00023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鄠邑区再生水综合利用（二期、三期）管网工程测绘及设计服务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鄠邑区再生水综合利用（二期、三期）管网工程测绘及设计服务。工程规模和主要建设内容为：工程设计供水规模为3.25万m³/d，建设再生水配水管网13.44Km，管材采用聚乙烯PE100管材，管径dn110-dn225及其配套设施。其中：二期新建长度8.56Km，敷设地点为古城西路、古城东路、北极路、人民路、东新路、友谊路、兆丰西路、西街、府兴巷、府东巷、箭门西路、箭门东路、西苑南路12条市政道路下;三期新建长度4.88Km，敷设地点为光明路、政法路、钓台路、宝苑路、吕公路、黑牛巷、朝阳路、东街8条市政道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3、缴纳税收：提供投标截止日前一年内已缴纳的至少一个月的纳税证明或完税证明，依法免税的单位应提供相关证明材料；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4、社会保障资金缴纳证明：提供投标截止日前一年内已缴存的至少一个月的社会保障资金缴存单据或社保机构开具的社会保险参保缴费情况证明，依法不需要缴纳社会保障资金的单位应提供相关证明材料；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5、书面声明：参加本次采购前3年内，在经营活动中没有重大违法记录的书面声明；</w:t>
      </w:r>
    </w:p>
    <w:p>
      <w:pPr>
        <w:pStyle w:val="null3"/>
      </w:pPr>
      <w:r>
        <w:rPr>
          <w:rFonts w:ascii="仿宋_GB2312" w:hAnsi="仿宋_GB2312" w:cs="仿宋_GB2312" w:eastAsia="仿宋_GB2312"/>
        </w:rPr>
        <w:t>6、信誉情况：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投标人应授权合法的人员参加本项目开标活动全过程：法定代表人直接参加的须提供法定代表人身份证并与营业执照上信息一致；法定代表人授权代表参加的须提供法定代表人授权书及被授权人在本单位证明（养老保险缴纳证明或劳动合同）；</w:t>
      </w:r>
    </w:p>
    <w:p>
      <w:pPr>
        <w:pStyle w:val="null3"/>
      </w:pPr>
      <w:r>
        <w:rPr>
          <w:rFonts w:ascii="仿宋_GB2312" w:hAnsi="仿宋_GB2312" w:cs="仿宋_GB2312" w:eastAsia="仿宋_GB2312"/>
        </w:rPr>
        <w:t>8、企业资质：供应商须同时具备以下资质：1.具备【工程设计综合资质甲级】或【市政行业工程设计乙级及以上】或【市政行业（给水工程）专业乙级及以上】资质，2.具备行政主管部门颁发的工程测量专业乙级及以上测绘资质；并在人员、设备、资金等方面具备相应的能力；</w:t>
      </w:r>
    </w:p>
    <w:p>
      <w:pPr>
        <w:pStyle w:val="null3"/>
      </w:pPr>
      <w:r>
        <w:rPr>
          <w:rFonts w:ascii="仿宋_GB2312" w:hAnsi="仿宋_GB2312" w:cs="仿宋_GB2312" w:eastAsia="仿宋_GB2312"/>
        </w:rPr>
        <w:t>9、拟派项目负责人：须具备相关专业中级及以上职称；</w:t>
      </w:r>
    </w:p>
    <w:p>
      <w:pPr>
        <w:pStyle w:val="null3"/>
      </w:pPr>
      <w:r>
        <w:rPr>
          <w:rFonts w:ascii="仿宋_GB2312" w:hAnsi="仿宋_GB2312" w:cs="仿宋_GB2312" w:eastAsia="仿宋_GB2312"/>
        </w:rPr>
        <w:t>10、供应商履行合同所必需的设备和专业技术能力：供应商须具有履行合同所必需的设备和专业技术能力，须附相关证明材料或书面声明；</w:t>
      </w:r>
    </w:p>
    <w:p>
      <w:pPr>
        <w:pStyle w:val="null3"/>
      </w:pPr>
      <w:r>
        <w:rPr>
          <w:rFonts w:ascii="仿宋_GB2312" w:hAnsi="仿宋_GB2312" w:cs="仿宋_GB2312" w:eastAsia="仿宋_GB2312"/>
        </w:rPr>
        <w:t>11、单位负责人为同一人或者存在控股、管理关系的不同单位不得同时参加：单位负责人为同一人或者存在控股、管理关系的不同单位不得同时参加。</w:t>
      </w:r>
    </w:p>
    <w:p>
      <w:pPr>
        <w:pStyle w:val="null3"/>
      </w:pPr>
      <w:r>
        <w:rPr>
          <w:rFonts w:ascii="仿宋_GB2312" w:hAnsi="仿宋_GB2312" w:cs="仿宋_GB2312" w:eastAsia="仿宋_GB2312"/>
        </w:rPr>
        <w:t>12、本项目接受联合体投标：本项目接受联合体投标，若联合体投标，联合体各方均应同时满足上述（1）-（6）、（10）-（11）项规定的资格条件。（联合体成员不超过2家，联合体牵头单位必须是设计供应商，以联合体形式参加投标的，须提供由联合体成员共同签署盖章的联合体协议书。联合体各方不得再单独参加或者与其他供应商另外组成联合体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029-84835136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知含国际工程咨询有限公司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陕西省咸阳市秦都区西里路以西亨浩集团6楼西侧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029-33687895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招标代理服务收费管理暂行办法的通知》（计价格【2002】1980号）和《国家发展改革委关于降低部分建设项目收费标准规范收费行为等有关问题的通知》（发改办价格【2011】534号）文件规定，按标准收取。2、在领取成交通知书前，由成交单位向采购代理机构缴纳招标代理服务费，一次性付清。3、代理服务费缴纳账户信息：账户名称：知含国际工程咨询有限公司 开户行名称：中国建设银行股份有限公司咸阳世纪大道支行 开户账号：61001635008052503621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西安市鄠邑区水务局</w:t>
      </w:r>
      <w:r>
        <w:rPr>
          <w:rFonts w:ascii="仿宋_GB2312" w:hAnsi="仿宋_GB2312" w:cs="仿宋_GB2312" w:eastAsia="仿宋_GB2312"/>
        </w:rPr>
        <w:t>和</w:t>
      </w:r>
      <w:r>
        <w:rPr>
          <w:rFonts w:ascii="仿宋_GB2312" w:hAnsi="仿宋_GB2312" w:cs="仿宋_GB2312" w:eastAsia="仿宋_GB2312"/>
        </w:rPr>
        <w:t>知含国际工程咨询有限公司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知含国际工程咨询有限公司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知含国际工程咨询有限公司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联系人：赵荣</w:t>
      </w:r>
    </w:p>
    <w:p>
      <w:pPr>
        <w:pStyle w:val="null3"/>
      </w:pPr>
      <w:r>
        <w:rPr>
          <w:rFonts w:ascii="仿宋_GB2312" w:hAnsi="仿宋_GB2312" w:cs="仿宋_GB2312" w:eastAsia="仿宋_GB2312"/>
        </w:rPr>
        <w:t>联系电话：029-33687895</w:t>
      </w:r>
    </w:p>
    <w:p>
      <w:pPr>
        <w:pStyle w:val="null3"/>
      </w:pPr>
      <w:r>
        <w:rPr>
          <w:rFonts w:ascii="仿宋_GB2312" w:hAnsi="仿宋_GB2312" w:cs="仿宋_GB2312" w:eastAsia="仿宋_GB2312"/>
        </w:rPr>
        <w:t>地址：陕西省咸阳市秦都区西里路以西亨浩集团6楼西侧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鄠邑区再生水综合利用（二期、三期）管网工程测绘及设计服务。工程规模和主要建设内容为：工程设计供水规模为3.25万m³/d，建设再生水配水管网13.44Km，管材采用聚乙烯PE100管材，管径dn110-dn225及其配套设施。其中：二期新建长度8.56Km，敷设地点为古城西路、古城东路、北极路、人民路、东新路、友谊路、兆丰西路、西街、府兴巷、府东巷、箭门西路、箭门东路、西苑南路12条市政道路下;三期新建长度4.88Km，敷设地点为光明路、政法路、钓台路、宝苑路、吕公路、黑牛巷、朝阳路、东街8条市政道路。</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再生水二三期工程的前期测绘和设计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标的名称：再生水二三期工程的前期测绘和设计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一、服务通用技术要求</w:t>
            </w:r>
          </w:p>
          <w:p>
            <w:pPr>
              <w:pStyle w:val="null3"/>
            </w:pPr>
            <w:r>
              <w:rPr>
                <w:rFonts w:ascii="仿宋_GB2312" w:hAnsi="仿宋_GB2312" w:cs="仿宋_GB2312" w:eastAsia="仿宋_GB2312"/>
              </w:rPr>
              <w:t>遵循规范：需严格执行现行国家、行业及地方相关标准，核心依据包含《工程测量规范》</w:t>
            </w:r>
            <w:r>
              <w:rPr>
                <w:rFonts w:ascii="仿宋_GB2312" w:hAnsi="仿宋_GB2312" w:cs="仿宋_GB2312" w:eastAsia="仿宋_GB2312"/>
              </w:rPr>
              <w:t>GB50026、《城市测量规范》CJJ/T8、《城镇再生水利用工程设计规范》GB50335、《给水排水管道工程施工及验收规范》GB50268 等，规范均采用最新有效版本。</w:t>
            </w:r>
          </w:p>
          <w:p>
            <w:pPr>
              <w:pStyle w:val="null3"/>
            </w:pPr>
            <w:r>
              <w:rPr>
                <w:rFonts w:ascii="仿宋_GB2312" w:hAnsi="仿宋_GB2312" w:cs="仿宋_GB2312" w:eastAsia="仿宋_GB2312"/>
              </w:rPr>
              <w:t>服务协同：测绘与设计工作同步衔接，针对项目地形、场地条件变化，及时完成测绘补测与设计调整，保障项目推进效率。</w:t>
            </w:r>
          </w:p>
          <w:p>
            <w:pPr>
              <w:pStyle w:val="null3"/>
            </w:pPr>
            <w:r>
              <w:rPr>
                <w:rFonts w:ascii="仿宋_GB2312" w:hAnsi="仿宋_GB2312" w:cs="仿宋_GB2312" w:eastAsia="仿宋_GB2312"/>
              </w:rPr>
              <w:t>二、核心技术参数与性能指标</w:t>
            </w:r>
          </w:p>
          <w:p>
            <w:pPr>
              <w:pStyle w:val="null3"/>
            </w:pPr>
            <w:r>
              <w:rPr>
                <w:rFonts w:ascii="仿宋_GB2312" w:hAnsi="仿宋_GB2312" w:cs="仿宋_GB2312" w:eastAsia="仿宋_GB2312"/>
              </w:rPr>
              <w:t>（一）测绘服务技术参数与性能指标</w:t>
            </w:r>
          </w:p>
          <w:p>
            <w:pPr>
              <w:pStyle w:val="null3"/>
            </w:pPr>
            <w:r>
              <w:rPr>
                <w:rFonts w:ascii="仿宋_GB2312" w:hAnsi="仿宋_GB2312" w:cs="仿宋_GB2312" w:eastAsia="仿宋_GB2312"/>
              </w:rPr>
              <w:t>坐标与高程基准</w:t>
            </w:r>
          </w:p>
          <w:p>
            <w:pPr>
              <w:pStyle w:val="null3"/>
            </w:pPr>
            <w:r>
              <w:rPr>
                <w:rFonts w:ascii="仿宋_GB2312" w:hAnsi="仿宋_GB2312" w:cs="仿宋_GB2312" w:eastAsia="仿宋_GB2312"/>
              </w:rPr>
              <w:t>平面坐标：采用</w:t>
            </w:r>
            <w:r>
              <w:rPr>
                <w:rFonts w:ascii="仿宋_GB2312" w:hAnsi="仿宋_GB2312" w:cs="仿宋_GB2312" w:eastAsia="仿宋_GB2312"/>
              </w:rPr>
              <w:t>2000 国家大地坐标系（CGCS2000），按项目所在地市级测绘管理要求执行投影，投影长度变形值≤2.5cm/km；</w:t>
            </w:r>
          </w:p>
          <w:p>
            <w:pPr>
              <w:pStyle w:val="null3"/>
            </w:pPr>
            <w:r>
              <w:rPr>
                <w:rFonts w:ascii="仿宋_GB2312" w:hAnsi="仿宋_GB2312" w:cs="仿宋_GB2312" w:eastAsia="仿宋_GB2312"/>
              </w:rPr>
              <w:t>高程基准：</w:t>
            </w:r>
            <w:r>
              <w:rPr>
                <w:rFonts w:ascii="仿宋_GB2312" w:hAnsi="仿宋_GB2312" w:cs="仿宋_GB2312" w:eastAsia="仿宋_GB2312"/>
              </w:rPr>
              <w:t>1985 国家高程基准；</w:t>
            </w:r>
          </w:p>
          <w:p>
            <w:pPr>
              <w:pStyle w:val="null3"/>
            </w:pPr>
            <w:r>
              <w:rPr>
                <w:rFonts w:ascii="仿宋_GB2312" w:hAnsi="仿宋_GB2312" w:cs="仿宋_GB2312" w:eastAsia="仿宋_GB2312"/>
              </w:rPr>
              <w:t>性能指标：基准转换精准，无系统偏差，转换参数完整可追溯。</w:t>
            </w:r>
          </w:p>
          <w:p>
            <w:pPr>
              <w:pStyle w:val="null3"/>
            </w:pPr>
            <w:r>
              <w:rPr>
                <w:rFonts w:ascii="仿宋_GB2312" w:hAnsi="仿宋_GB2312" w:cs="仿宋_GB2312" w:eastAsia="仿宋_GB2312"/>
              </w:rPr>
              <w:t>地形测绘参数</w:t>
            </w:r>
          </w:p>
          <w:p>
            <w:pPr>
              <w:pStyle w:val="null3"/>
            </w:pPr>
            <w:r>
              <w:rPr>
                <w:rFonts w:ascii="仿宋_GB2312" w:hAnsi="仿宋_GB2312" w:cs="仿宋_GB2312" w:eastAsia="仿宋_GB2312"/>
              </w:rPr>
              <w:t>测绘比例尺：</w:t>
            </w:r>
            <w:r>
              <w:rPr>
                <w:rFonts w:ascii="仿宋_GB2312" w:hAnsi="仿宋_GB2312" w:cs="仿宋_GB2312" w:eastAsia="仿宋_GB2312"/>
              </w:rPr>
              <w:t>1:500 数字化地形图测绘；</w:t>
            </w:r>
          </w:p>
          <w:p>
            <w:pPr>
              <w:pStyle w:val="null3"/>
            </w:pPr>
            <w:r>
              <w:rPr>
                <w:rFonts w:ascii="仿宋_GB2312" w:hAnsi="仿宋_GB2312" w:cs="仿宋_GB2312" w:eastAsia="仿宋_GB2312"/>
              </w:rPr>
              <w:t>测绘范围：再生水管网规划线路两侧各</w:t>
            </w:r>
            <w:r>
              <w:rPr>
                <w:rFonts w:ascii="仿宋_GB2312" w:hAnsi="仿宋_GB2312" w:cs="仿宋_GB2312" w:eastAsia="仿宋_GB2312"/>
              </w:rPr>
              <w:t>20m，泵站、阀井、调蓄池等配套设施用地红线外 10m 全域；</w:t>
            </w:r>
          </w:p>
          <w:p>
            <w:pPr>
              <w:pStyle w:val="null3"/>
            </w:pPr>
            <w:r>
              <w:rPr>
                <w:rFonts w:ascii="仿宋_GB2312" w:hAnsi="仿宋_GB2312" w:cs="仿宋_GB2312" w:eastAsia="仿宋_GB2312"/>
              </w:rPr>
              <w:t>精度指标：地物点平面中误差</w:t>
            </w:r>
            <w:r>
              <w:rPr>
                <w:rFonts w:ascii="仿宋_GB2312" w:hAnsi="仿宋_GB2312" w:cs="仿宋_GB2312" w:eastAsia="仿宋_GB2312"/>
              </w:rPr>
              <w:t>≤±5cm，地形点高程中误差≤±0.15m；建（构）筑物、道路边线、水系岸线等关键要素采集无遗漏；</w:t>
            </w:r>
          </w:p>
          <w:p>
            <w:pPr>
              <w:pStyle w:val="null3"/>
            </w:pPr>
            <w:r>
              <w:rPr>
                <w:rFonts w:ascii="仿宋_GB2312" w:hAnsi="仿宋_GB2312" w:cs="仿宋_GB2312" w:eastAsia="仿宋_GB2312"/>
              </w:rPr>
              <w:t>性能指标：地形图要素分层规范、标注清晰，能完整反映项目场地地形地貌、现状建（构）筑物、道路、水系、植被等核心信息。</w:t>
            </w:r>
          </w:p>
          <w:p>
            <w:pPr>
              <w:pStyle w:val="null3"/>
            </w:pPr>
            <w:r>
              <w:rPr>
                <w:rFonts w:ascii="仿宋_GB2312" w:hAnsi="仿宋_GB2312" w:cs="仿宋_GB2312" w:eastAsia="仿宋_GB2312"/>
              </w:rPr>
              <w:t>定线与放样测绘参数</w:t>
            </w:r>
          </w:p>
          <w:p>
            <w:pPr>
              <w:pStyle w:val="null3"/>
            </w:pPr>
            <w:r>
              <w:rPr>
                <w:rFonts w:ascii="仿宋_GB2312" w:hAnsi="仿宋_GB2312" w:cs="仿宋_GB2312" w:eastAsia="仿宋_GB2312"/>
              </w:rPr>
              <w:t>管网定线：管网中心线、拐点、配套设施中心点放样平面中误差</w:t>
            </w:r>
            <w:r>
              <w:rPr>
                <w:rFonts w:ascii="仿宋_GB2312" w:hAnsi="仿宋_GB2312" w:cs="仿宋_GB2312" w:eastAsia="仿宋_GB2312"/>
              </w:rPr>
              <w:t>≤±2cm，高程中误差≤±3cm；</w:t>
            </w:r>
          </w:p>
          <w:p>
            <w:pPr>
              <w:pStyle w:val="null3"/>
            </w:pPr>
            <w:r>
              <w:rPr>
                <w:rFonts w:ascii="仿宋_GB2312" w:hAnsi="仿宋_GB2312" w:cs="仿宋_GB2312" w:eastAsia="仿宋_GB2312"/>
              </w:rPr>
              <w:t>场站放样：泵站、调蓄池等场站边界及基础点位放样平面中误差</w:t>
            </w:r>
            <w:r>
              <w:rPr>
                <w:rFonts w:ascii="仿宋_GB2312" w:hAnsi="仿宋_GB2312" w:cs="仿宋_GB2312" w:eastAsia="仿宋_GB2312"/>
              </w:rPr>
              <w:t>≤±3cm，高程中误差≤±2cm；</w:t>
            </w:r>
          </w:p>
          <w:p>
            <w:pPr>
              <w:pStyle w:val="null3"/>
            </w:pPr>
            <w:r>
              <w:rPr>
                <w:rFonts w:ascii="仿宋_GB2312" w:hAnsi="仿宋_GB2312" w:cs="仿宋_GB2312" w:eastAsia="仿宋_GB2312"/>
              </w:rPr>
              <w:t>性能指标：放样成果复测合格率</w:t>
            </w:r>
            <w:r>
              <w:rPr>
                <w:rFonts w:ascii="仿宋_GB2312" w:hAnsi="仿宋_GB2312" w:cs="仿宋_GB2312" w:eastAsia="仿宋_GB2312"/>
              </w:rPr>
              <w:t>100%，提供完整的放样成果表及点位复核报告，满足施工放线要求。</w:t>
            </w:r>
          </w:p>
          <w:p>
            <w:pPr>
              <w:pStyle w:val="null3"/>
            </w:pPr>
            <w:r>
              <w:rPr>
                <w:rFonts w:ascii="仿宋_GB2312" w:hAnsi="仿宋_GB2312" w:cs="仿宋_GB2312" w:eastAsia="仿宋_GB2312"/>
              </w:rPr>
              <w:t>测绘成果性能指标</w:t>
            </w:r>
          </w:p>
          <w:p>
            <w:pPr>
              <w:pStyle w:val="null3"/>
            </w:pPr>
            <w:r>
              <w:rPr>
                <w:rFonts w:ascii="仿宋_GB2312" w:hAnsi="仿宋_GB2312" w:cs="仿宋_GB2312" w:eastAsia="仿宋_GB2312"/>
              </w:rPr>
              <w:t>完整性：包含控制点成果表、</w:t>
            </w:r>
            <w:r>
              <w:rPr>
                <w:rFonts w:ascii="仿宋_GB2312" w:hAnsi="仿宋_GB2312" w:cs="仿宋_GB2312" w:eastAsia="仿宋_GB2312"/>
              </w:rPr>
              <w:t>1:500 数字化地形图、定线放样成果表、测绘技术报告等全套资料，签章齐全、数据完整；</w:t>
            </w:r>
          </w:p>
          <w:p>
            <w:pPr>
              <w:pStyle w:val="null3"/>
            </w:pPr>
            <w:r>
              <w:rPr>
                <w:rFonts w:ascii="仿宋_GB2312" w:hAnsi="仿宋_GB2312" w:cs="仿宋_GB2312" w:eastAsia="仿宋_GB2312"/>
              </w:rPr>
              <w:t>合规性：成果通过招标人及相关主管部门审核，符合现行测绘规范要求；</w:t>
            </w:r>
          </w:p>
          <w:p>
            <w:pPr>
              <w:pStyle w:val="null3"/>
            </w:pPr>
            <w:r>
              <w:rPr>
                <w:rFonts w:ascii="仿宋_GB2312" w:hAnsi="仿宋_GB2312" w:cs="仿宋_GB2312" w:eastAsia="仿宋_GB2312"/>
              </w:rPr>
              <w:t>可用性：数据格式为</w:t>
            </w:r>
            <w:r>
              <w:rPr>
                <w:rFonts w:ascii="仿宋_GB2312" w:hAnsi="仿宋_GB2312" w:cs="仿宋_GB2312" w:eastAsia="仿宋_GB2312"/>
              </w:rPr>
              <w:t>dwg、shp 等主流格式，可直接导入设计软件，图层、属性信息规范，无数据错乱、偏差问题。</w:t>
            </w:r>
          </w:p>
          <w:p>
            <w:pPr>
              <w:pStyle w:val="null3"/>
            </w:pPr>
            <w:r>
              <w:rPr>
                <w:rFonts w:ascii="仿宋_GB2312" w:hAnsi="仿宋_GB2312" w:cs="仿宋_GB2312" w:eastAsia="仿宋_GB2312"/>
              </w:rPr>
              <w:t>（二）设计服务技术参数与性能指标</w:t>
            </w:r>
          </w:p>
          <w:p>
            <w:pPr>
              <w:pStyle w:val="null3"/>
            </w:pPr>
            <w:r>
              <w:rPr>
                <w:rFonts w:ascii="仿宋_GB2312" w:hAnsi="仿宋_GB2312" w:cs="仿宋_GB2312" w:eastAsia="仿宋_GB2312"/>
              </w:rPr>
              <w:t>管网设计核心参数</w:t>
            </w:r>
          </w:p>
          <w:p>
            <w:pPr>
              <w:pStyle w:val="null3"/>
            </w:pPr>
            <w:r>
              <w:rPr>
                <w:rFonts w:ascii="仿宋_GB2312" w:hAnsi="仿宋_GB2312" w:cs="仿宋_GB2312" w:eastAsia="仿宋_GB2312"/>
              </w:rPr>
              <w:t>设计规模：匹配项目再生水供水规划规模，管网设计流量、流速满足《城镇再生水利用工程设计规范》</w:t>
            </w:r>
            <w:r>
              <w:rPr>
                <w:rFonts w:ascii="仿宋_GB2312" w:hAnsi="仿宋_GB2312" w:cs="仿宋_GB2312" w:eastAsia="仿宋_GB2312"/>
              </w:rPr>
              <w:t>GB50335 要求，管内流速控制在 0.6~1.5m/s；</w:t>
            </w:r>
          </w:p>
          <w:p>
            <w:pPr>
              <w:pStyle w:val="null3"/>
            </w:pPr>
            <w:r>
              <w:rPr>
                <w:rFonts w:ascii="仿宋_GB2312" w:hAnsi="仿宋_GB2312" w:cs="仿宋_GB2312" w:eastAsia="仿宋_GB2312"/>
              </w:rPr>
              <w:t>管材选型：根据设计压力、施工条件选型，推荐采用球墨铸铁管、</w:t>
            </w:r>
            <w:r>
              <w:rPr>
                <w:rFonts w:ascii="仿宋_GB2312" w:hAnsi="仿宋_GB2312" w:cs="仿宋_GB2312" w:eastAsia="仿宋_GB2312"/>
              </w:rPr>
              <w:t>PE 管等耐腐蚀管材，管材公称压力≥1.0MPa；</w:t>
            </w:r>
          </w:p>
          <w:p>
            <w:pPr>
              <w:pStyle w:val="null3"/>
            </w:pPr>
            <w:r>
              <w:rPr>
                <w:rFonts w:ascii="仿宋_GB2312" w:hAnsi="仿宋_GB2312" w:cs="仿宋_GB2312" w:eastAsia="仿宋_GB2312"/>
              </w:rPr>
              <w:t>设计压力：管网最不利点自由水头满足用水要求，管网工作压力</w:t>
            </w:r>
            <w:r>
              <w:rPr>
                <w:rFonts w:ascii="仿宋_GB2312" w:hAnsi="仿宋_GB2312" w:cs="仿宋_GB2312" w:eastAsia="仿宋_GB2312"/>
              </w:rPr>
              <w:t>≤0.8MPa，水力计算偏差≤5%；</w:t>
            </w:r>
          </w:p>
          <w:p>
            <w:pPr>
              <w:pStyle w:val="null3"/>
            </w:pPr>
            <w:r>
              <w:rPr>
                <w:rFonts w:ascii="仿宋_GB2312" w:hAnsi="仿宋_GB2312" w:cs="仿宋_GB2312" w:eastAsia="仿宋_GB2312"/>
              </w:rPr>
              <w:t>埋设要求：管网覆土深度</w:t>
            </w:r>
            <w:r>
              <w:rPr>
                <w:rFonts w:ascii="仿宋_GB2312" w:hAnsi="仿宋_GB2312" w:cs="仿宋_GB2312" w:eastAsia="仿宋_GB2312"/>
              </w:rPr>
              <w:t>≥0.7m，冰冻地区需埋设于冰冻线以下 0.3m，与建（构）筑物、道路的安全距离符合规范要求。</w:t>
            </w:r>
          </w:p>
          <w:p>
            <w:pPr>
              <w:pStyle w:val="null3"/>
            </w:pPr>
            <w:r>
              <w:rPr>
                <w:rFonts w:ascii="仿宋_GB2312" w:hAnsi="仿宋_GB2312" w:cs="仿宋_GB2312" w:eastAsia="仿宋_GB2312"/>
              </w:rPr>
              <w:t>配套设施设计参数</w:t>
            </w:r>
          </w:p>
          <w:p>
            <w:pPr>
              <w:pStyle w:val="null3"/>
            </w:pPr>
            <w:r>
              <w:rPr>
                <w:rFonts w:ascii="仿宋_GB2312" w:hAnsi="仿宋_GB2312" w:cs="仿宋_GB2312" w:eastAsia="仿宋_GB2312"/>
              </w:rPr>
              <w:t>阀井</w:t>
            </w:r>
            <w:r>
              <w:rPr>
                <w:rFonts w:ascii="仿宋_GB2312" w:hAnsi="仿宋_GB2312" w:cs="仿宋_GB2312" w:eastAsia="仿宋_GB2312"/>
              </w:rPr>
              <w:t>/ 检查井：井体结构满足承压、防渗要求，井盖及井座符合市政道路荷载标准，防渗等级≥P6；</w:t>
            </w:r>
          </w:p>
          <w:p>
            <w:pPr>
              <w:pStyle w:val="null3"/>
            </w:pPr>
            <w:r>
              <w:rPr>
                <w:rFonts w:ascii="仿宋_GB2312" w:hAnsi="仿宋_GB2312" w:cs="仿宋_GB2312" w:eastAsia="仿宋_GB2312"/>
              </w:rPr>
              <w:t>泵站：设计扬程、流量匹配管网需求，机组效率</w:t>
            </w:r>
            <w:r>
              <w:rPr>
                <w:rFonts w:ascii="仿宋_GB2312" w:hAnsi="仿宋_GB2312" w:cs="仿宋_GB2312" w:eastAsia="仿宋_GB2312"/>
              </w:rPr>
              <w:t>≥80%，配套自控系统可实现远程监控；</w:t>
            </w:r>
          </w:p>
          <w:p>
            <w:pPr>
              <w:pStyle w:val="null3"/>
            </w:pPr>
            <w:r>
              <w:rPr>
                <w:rFonts w:ascii="仿宋_GB2312" w:hAnsi="仿宋_GB2312" w:cs="仿宋_GB2312" w:eastAsia="仿宋_GB2312"/>
              </w:rPr>
              <w:t>调蓄设施：有效容积满足项目应急供水及水量调节需求，防渗、防腐处理符合再生水水质要求。</w:t>
            </w:r>
          </w:p>
          <w:p>
            <w:pPr>
              <w:pStyle w:val="null3"/>
            </w:pPr>
            <w:r>
              <w:rPr>
                <w:rFonts w:ascii="仿宋_GB2312" w:hAnsi="仿宋_GB2312" w:cs="仿宋_GB2312" w:eastAsia="仿宋_GB2312"/>
              </w:rPr>
              <w:t>设计成果性能指标</w:t>
            </w:r>
          </w:p>
          <w:p>
            <w:pPr>
              <w:pStyle w:val="null3"/>
            </w:pPr>
            <w:r>
              <w:rPr>
                <w:rFonts w:ascii="仿宋_GB2312" w:hAnsi="仿宋_GB2312" w:cs="仿宋_GB2312" w:eastAsia="仿宋_GB2312"/>
              </w:rPr>
              <w:t>合规性：设计文件符合国家、行业及地方再生水工程设计规范，通过施工图审查机构审核；</w:t>
            </w:r>
          </w:p>
          <w:p>
            <w:pPr>
              <w:pStyle w:val="null3"/>
            </w:pPr>
            <w:r>
              <w:rPr>
                <w:rFonts w:ascii="仿宋_GB2312" w:hAnsi="仿宋_GB2312" w:cs="仿宋_GB2312" w:eastAsia="仿宋_GB2312"/>
              </w:rPr>
              <w:t>经济性：工程投资估算精准，偏差</w:t>
            </w:r>
            <w:r>
              <w:rPr>
                <w:rFonts w:ascii="仿宋_GB2312" w:hAnsi="仿宋_GB2312" w:cs="仿宋_GB2312" w:eastAsia="仿宋_GB2312"/>
              </w:rPr>
              <w:t>≤10%，设计方案在满足功能的前提下，具备最优性价比；</w:t>
            </w:r>
          </w:p>
          <w:p>
            <w:pPr>
              <w:pStyle w:val="null3"/>
            </w:pPr>
            <w:r>
              <w:rPr>
                <w:rFonts w:ascii="仿宋_GB2312" w:hAnsi="仿宋_GB2312" w:cs="仿宋_GB2312" w:eastAsia="仿宋_GB2312"/>
              </w:rPr>
              <w:t>实用性：设计方案适配项目场地条件，施工可行性强，管线走向、设施布局合理，便于后期运维；</w:t>
            </w:r>
          </w:p>
          <w:p>
            <w:pPr>
              <w:pStyle w:val="null3"/>
            </w:pPr>
            <w:r>
              <w:rPr>
                <w:rFonts w:ascii="仿宋_GB2312" w:hAnsi="仿宋_GB2312" w:cs="仿宋_GB2312" w:eastAsia="仿宋_GB2312"/>
              </w:rPr>
              <w:t>完整性：包含初步设计文件、施工图设计文件、设计计算书、工程量清单及投资估算等全套成果，图纸深度满足施工招标及施工要求。</w:t>
            </w:r>
          </w:p>
          <w:p>
            <w:pPr>
              <w:pStyle w:val="null3"/>
            </w:pPr>
            <w:r>
              <w:rPr>
                <w:rFonts w:ascii="仿宋_GB2312" w:hAnsi="仿宋_GB2312" w:cs="仿宋_GB2312" w:eastAsia="仿宋_GB2312"/>
              </w:rPr>
              <w:t>水质与安全设计指标</w:t>
            </w:r>
          </w:p>
          <w:p>
            <w:pPr>
              <w:pStyle w:val="null3"/>
            </w:pPr>
            <w:r>
              <w:rPr>
                <w:rFonts w:ascii="仿宋_GB2312" w:hAnsi="仿宋_GB2312" w:cs="仿宋_GB2312" w:eastAsia="仿宋_GB2312"/>
              </w:rPr>
              <w:t>水质保障：管网设计满足再生水水质输送要求，无死水段设计，管道连接方式符合防渗、防漏要求，避免水质二次污染；</w:t>
            </w:r>
          </w:p>
          <w:p>
            <w:pPr>
              <w:pStyle w:val="null3"/>
            </w:pPr>
            <w:r>
              <w:rPr>
                <w:rFonts w:ascii="仿宋_GB2312" w:hAnsi="仿宋_GB2312" w:cs="仿宋_GB2312" w:eastAsia="仿宋_GB2312"/>
              </w:rPr>
              <w:t>安全防护：管网设置必要的止回阀、减压阀、排气阀、泄水阀，满足管网运行安全及检修要求；配套设施设置安全防护及消防措施，符合安全生产规范。</w:t>
            </w:r>
          </w:p>
          <w:p>
            <w:pPr>
              <w:pStyle w:val="null3"/>
            </w:pPr>
            <w:r>
              <w:rPr>
                <w:rFonts w:ascii="仿宋_GB2312" w:hAnsi="仿宋_GB2312" w:cs="仿宋_GB2312" w:eastAsia="仿宋_GB2312"/>
              </w:rPr>
              <w:t>三、一体化服务成果整体要求</w:t>
            </w:r>
          </w:p>
          <w:p>
            <w:pPr>
              <w:pStyle w:val="null3"/>
            </w:pPr>
            <w:r>
              <w:rPr>
                <w:rFonts w:ascii="仿宋_GB2312" w:hAnsi="仿宋_GB2312" w:cs="仿宋_GB2312" w:eastAsia="仿宋_GB2312"/>
              </w:rPr>
              <w:t>测绘与设计成果统一成册，资料整理规范，便于归档及后续施工、验收使用；</w:t>
            </w:r>
          </w:p>
          <w:p>
            <w:pPr>
              <w:pStyle w:val="null3"/>
            </w:pPr>
            <w:r>
              <w:rPr>
                <w:rFonts w:ascii="仿宋_GB2312" w:hAnsi="仿宋_GB2312" w:cs="仿宋_GB2312" w:eastAsia="仿宋_GB2312"/>
              </w:rPr>
              <w:t>成果文件需提供纸质版及电子版，电子版含可编辑文件及只读文件两个版本；</w:t>
            </w:r>
          </w:p>
          <w:p>
            <w:pPr>
              <w:pStyle w:val="null3"/>
            </w:pPr>
            <w:r>
              <w:rPr>
                <w:rFonts w:ascii="仿宋_GB2312" w:hAnsi="仿宋_GB2312" w:cs="仿宋_GB2312" w:eastAsia="仿宋_GB2312"/>
                <w:sz w:val="21"/>
              </w:rPr>
              <w:t>设计成果需结合测绘现状精准落地，无因测绘数据偏差导致的设计不合理问题。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项目费用按进度支付，乙方完成全部测绘成果交付（含地形测量图）通过甲方审核后，支付至合同额的50.00%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乙方提交全套施工图设计文件+ 设计交底完成，经甲方最终验收合格后，支付至合同额的90.00%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竣工验收完成后,甲方向乙方一次性付清所有费用支付至合同额的100.00%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2.供应商未按合同要求提供货物与服务或货物与服务质量未达到合同约定的，采购人有权终止合同。因中标人原因对采购人造成经济损失的，采购人有权进行追责。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最高限价为900000.00元，其中设计最高限价：820000.00元，测绘最高限价：80000.00元。2.本项目通过电子化交易系统协商，供应商需在电子化交易系统上传响应的文件。成交供应商领取中标（成交）通知书时，向采购代理机构提供一正两副纸质响应文件及电子U盘2个（签字盖章扫描PDF和word文档格式，U盘存储）。 3.供应商应自协商文件递交截止时间起至磋商结束，保持在线状态。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提供投标截止日前一年内已缴纳的至少一个月的纳税证明或完税证明，依法免税的单位应提供相关证明材料；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参加本次采购前3年内，在经营活动中没有重大违法记录的书面声明；</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投标人应授权合法的人员参加本项目开标活动全过程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法定代表人直接参加的须提供法定代表人身份证并与营业执照上信息一致；法定代表人授权代表参加的须提供法定代表人授权书及被授权人在本单位证明（养老保险缴纳证明或劳动合同）；</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同时具备以下资质：1.具备【工程设计综合资质甲级】或【市政行业工程设计乙级及以上】或【市政行业（给水工程）专业乙级及以上】资质，2.具备行政主管部门颁发的工程测量专业乙级及以上测绘资质；并在人员、设备、资金等方面具备相应的能力；</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须具备相关专业中级及以上职称；</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供应商履行合同所必需的设备和专业技术能力</w:t>
            </w:r>
          </w:p>
        </w:tc>
        <w:tc>
          <w:tcPr>
            <w:tcW w:type="dxa" w:w="3322"/>
          </w:tcPr>
          <w:p>
            <w:pPr>
              <w:pStyle w:val="null3"/>
            </w:pPr>
            <w:r>
              <w:rPr>
                <w:rFonts w:ascii="仿宋_GB2312" w:hAnsi="仿宋_GB2312" w:cs="仿宋_GB2312" w:eastAsia="仿宋_GB2312"/>
              </w:rPr>
              <w:t>供应商须具有履行合同所必需的设备和专业技术能力，须附相关证明材料或书面声明；</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单位负责人为同一人或者存在控股、管理关系的不同单位不得同时参加</w:t>
            </w:r>
          </w:p>
        </w:tc>
        <w:tc>
          <w:tcPr>
            <w:tcW w:type="dxa" w:w="3322"/>
          </w:tcPr>
          <w:p>
            <w:pPr>
              <w:pStyle w:val="null3"/>
            </w:pPr>
            <w:r>
              <w:rPr>
                <w:rFonts w:ascii="仿宋_GB2312" w:hAnsi="仿宋_GB2312" w:cs="仿宋_GB2312" w:eastAsia="仿宋_GB2312"/>
              </w:rPr>
              <w:t>单位负责人为同一人或者存在控股、管理关系的不同单位不得同时参加。</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本项目接受联合体投标，若联合体投标，联合体各方均应同时满足上述（1）-（6）、（10）-（11）项规定的资格条件。（联合体成员不超过2家，联合体牵头单位必须是设计供应商，以联合体形式参加投标的，须提供由联合体成员共同签署盖章的联合体协议书。联合体各方不得再单独参加或者与其他供应商另外组成联合体参加同一合同项下的政府采购活动。）。</w:t>
            </w:r>
          </w:p>
        </w:tc>
        <w:tc>
          <w:tcPr>
            <w:tcW w:type="dxa" w:w="1661"/>
          </w:tcPr>
          <w:p>
            <w:pPr>
              <w:pStyle w:val="null3"/>
            </w:pPr>
            <w:r>
              <w:rPr>
                <w:rFonts w:ascii="仿宋_GB2312" w:hAnsi="仿宋_GB2312" w:cs="仿宋_GB2312" w:eastAsia="仿宋_GB2312"/>
              </w:rPr>
              <w:t>供应商资格要求.docx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服务承诺.docx 供应商应提交的相关资格证明材料 报价表 测绘方案.docx 供应商业绩证明材料.docx 响应文件封面 分项报价表.docx 供应商资格要求.docx 残疾人福利性单位声明函 重难点分析.docx 服务方案 标的清单 响应函 设计方案.docx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注：本项目最高限价为900000.00元，其中设计最高限价：820000.00元，测绘最高限价：80000.00元。）。</w:t>
            </w:r>
          </w:p>
        </w:tc>
        <w:tc>
          <w:tcPr>
            <w:tcW w:type="dxa" w:w="1661"/>
          </w:tcPr>
          <w:p>
            <w:pPr>
              <w:pStyle w:val="null3"/>
            </w:pPr>
            <w:r>
              <w:rPr>
                <w:rFonts w:ascii="仿宋_GB2312" w:hAnsi="仿宋_GB2312" w:cs="仿宋_GB2312" w:eastAsia="仿宋_GB2312"/>
              </w:rPr>
              <w:t>分项报价表.docx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测绘方案</w:t>
            </w:r>
          </w:p>
        </w:tc>
        <w:tc>
          <w:tcPr>
            <w:tcW w:type="dxa" w:w="2492"/>
          </w:tcPr>
          <w:p>
            <w:pPr>
              <w:pStyle w:val="null3"/>
            </w:pPr>
            <w:r>
              <w:rPr>
                <w:rFonts w:ascii="仿宋_GB2312" w:hAnsi="仿宋_GB2312" w:cs="仿宋_GB2312" w:eastAsia="仿宋_GB2312"/>
              </w:rPr>
              <w:t>一、评审内容：针对本项目提出适用于本项目的测绘方案，方案包括但不限于：①测绘技术路线与方法；②测绘进度计划及质量保障措施；③测绘成果交付。 二、评审标准：1、完整性：方案必须全面，对评审内容中的各项要求有详细描述；2、可实施性：切合本项目实际情况，提出步骤清晰、合理的方案； 3、针对性：方案能够紧扣本项目实际情况，内容科学合理。 三、赋分标准：（满分18分） ①测绘技术路线与方法：每完全满足一个评审标准得2分，满分6分；②测绘进度计划及质量保障措施：每完全满足一个评审标准得2分，满分6分；③测绘成果交付：每完全满足一个评审标准得2分，满分6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测绘方案.docx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针对本项目提出适用于本项目的测设计方案，方案包括但不限于：①设计依据；②设计工作目标及内容；③设计理念及思路；④设计说明；⑤设计进度保证措施；⑥设计成本控制措施；⑦技术交底方案；⑧设计变更预案。 二、评审标准：1、完整性：方案必须全面，对评审内容中的各项要求有详细描述；2、可实施性：切合本项目实际情况，提出步骤清晰、合理的方案； 3、针对性：方案能够紧扣本项目实际情况，内容科学合理。 三、赋分标准：（满分48分） ①设计依据：每完全满足一个评审标准得2分，满分6分；②设计工作目标及内容：每完全满足一个评审标准得2分，满分6分；③设计理念及思路：每完全满足一个评审标准得2分，满分6分；④设计说明：每完全满足一个评审标准得2分，满分6分；⑤设计进度保证措施：每完全满足一个评审标准得2分，满分6分。⑥设计成本控制措施：每完全满足一个评审标准得2分，满分6分；⑦技术交底方案：每完全满足一个评审标准得2分，满分6分；⑧设计变更预案：每完全满足一个评审标准得2分，满分6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设计方案.docx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一、评审内容：针对本项目作出适用于本项目的重难点分析，内容包括但不限于：①重点难点分析；②应对措施。 二、评审标准：1、可实施性：内容全面，对评审内容中的各项要求有详细描述，切合本项目实际情况； 2、针对性：方案能够紧扣本项目实际情况，内容科学合理。 三、赋分标准：（满分8分） ①重点难点分析：每完全满足一个评审标准得2分，满分4分；②应对措施：每完全满足一个评审标准得2分，满分4分；每有一项评审内容存在缺陷的扣（0-2）分，扣完为止。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重难点分析.docx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一、评审内容：①针对本项目对服务期限、进度、人员到位情况、工作底稿准确规范性、成果文件一致性及本项目后续配合服务作出实质性承诺（应包含不能完全履行承诺时愿意接受相关处罚的承诺）。 二、评审标准：1、完整性：内容必须全面，对评审内容中的各项要求有详细描述且切合本项目实际情况；2、针对性：内容能够紧扣本项目实际情况，内容科学合理。 三、赋分标准：（满分6分） 完全满足评审标准得3分，满分6分；存在缺陷的扣（0-3）分，扣完为止。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供应商提供2023年1月1日至今（以签订的合同日期为准）类似项目业绩合同证明材料（合同复印件加盖公章），每提供一个业绩合同证明材料得2分，最高10分。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供应商业绩证明材料.docx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投标总价为基准价，其价格分为满分。其他投标人的价格分统一按照下列公式计算：价格分=(基准价／投标报价)×10。满足落实政府采购相关政策的,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供应商资格要求.docx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详见附件：测绘方案.docx</w:t>
      </w:r>
    </w:p>
    <w:p>
      <w:pPr>
        <w:pStyle w:val="null3"/>
        <w:ind w:firstLine="960"/>
      </w:pPr>
      <w:r>
        <w:rPr>
          <w:rFonts w:ascii="仿宋_GB2312" w:hAnsi="仿宋_GB2312" w:cs="仿宋_GB2312" w:eastAsia="仿宋_GB2312"/>
        </w:rPr>
        <w:t>详见附件：设计方案.docx</w:t>
      </w:r>
    </w:p>
    <w:p>
      <w:pPr>
        <w:pStyle w:val="null3"/>
        <w:ind w:firstLine="960"/>
      </w:pPr>
      <w:r>
        <w:rPr>
          <w:rFonts w:ascii="仿宋_GB2312" w:hAnsi="仿宋_GB2312" w:cs="仿宋_GB2312" w:eastAsia="仿宋_GB2312"/>
        </w:rPr>
        <w:t>详见附件：重难点分析.docx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