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37E492">
      <w:pPr>
        <w:spacing w:line="360" w:lineRule="auto"/>
        <w:jc w:val="center"/>
        <w:outlineLvl w:val="9"/>
        <w:rPr>
          <w:rFonts w:hint="eastAsia" w:ascii="宋体" w:hAnsi="宋体" w:eastAsia="宋体" w:cs="宋体"/>
          <w:b/>
          <w:bCs/>
          <w:kern w:val="2"/>
          <w:sz w:val="24"/>
          <w:szCs w:val="24"/>
        </w:rPr>
      </w:pPr>
      <w:r>
        <w:rPr>
          <w:rFonts w:hint="eastAsia" w:ascii="宋体" w:hAnsi="宋体" w:eastAsia="宋体" w:cs="宋体"/>
          <w:b/>
          <w:bCs/>
          <w:kern w:val="2"/>
          <w:sz w:val="24"/>
          <w:szCs w:val="24"/>
        </w:rPr>
        <w:t>本合同仅为合同的参考文本</w:t>
      </w:r>
      <w:r>
        <w:rPr>
          <w:rFonts w:hint="eastAsia" w:ascii="宋体" w:hAnsi="宋体" w:eastAsia="宋体" w:cs="宋体"/>
          <w:b/>
          <w:bCs/>
          <w:kern w:val="2"/>
          <w:sz w:val="24"/>
          <w:szCs w:val="24"/>
          <w:lang w:eastAsia="zh-CN"/>
        </w:rPr>
        <w:t>，</w:t>
      </w:r>
      <w:r>
        <w:rPr>
          <w:rFonts w:hint="eastAsia" w:ascii="宋体" w:hAnsi="宋体" w:eastAsia="宋体" w:cs="宋体"/>
          <w:b/>
          <w:bCs/>
          <w:kern w:val="2"/>
          <w:sz w:val="24"/>
          <w:szCs w:val="24"/>
        </w:rPr>
        <w:t>合同签订双方可根据项目的具体要求进行修订。</w:t>
      </w:r>
    </w:p>
    <w:p w14:paraId="7297DBC0">
      <w:pPr>
        <w:spacing w:line="520" w:lineRule="exact"/>
        <w:ind w:firstLine="643" w:firstLineChars="200"/>
        <w:jc w:val="center"/>
        <w:rPr>
          <w:rFonts w:hint="eastAsia" w:ascii="仿宋" w:hAnsi="仿宋" w:eastAsia="仿宋" w:cs="仿宋"/>
          <w:b/>
          <w:bCs/>
          <w:sz w:val="32"/>
          <w:szCs w:val="32"/>
        </w:rPr>
      </w:pPr>
    </w:p>
    <w:p w14:paraId="3E0C2726">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6B5164DF">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1E6C38CB">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24E1E42E">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p>
    <w:p w14:paraId="52C2D4D7">
      <w:pPr>
        <w:kinsoku/>
        <w:overflowPunct/>
        <w:topLinePunct w:val="0"/>
        <w:autoSpaceDE/>
        <w:autoSpaceDN/>
        <w:bidi w:val="0"/>
        <w:spacing w:line="360" w:lineRule="auto"/>
        <w:jc w:val="center"/>
        <w:rPr>
          <w:rFonts w:hint="eastAsia" w:ascii="宋体" w:hAnsi="宋体" w:eastAsia="宋体" w:cs="宋体"/>
          <w:sz w:val="44"/>
          <w:szCs w:val="44"/>
          <w:highlight w:val="none"/>
          <w:lang w:val="en-US" w:eastAsia="zh-CN"/>
        </w:rPr>
      </w:pPr>
      <w:r>
        <w:rPr>
          <w:rFonts w:hint="eastAsia" w:ascii="宋体" w:hAnsi="宋体" w:eastAsia="宋体" w:cs="宋体"/>
          <w:sz w:val="44"/>
          <w:szCs w:val="44"/>
          <w:highlight w:val="none"/>
          <w:lang w:val="en-US" w:eastAsia="zh-CN"/>
        </w:rPr>
        <w:t>鄠邑区再生水综合利用（二期、三期）管网工程测绘及设计服务</w:t>
      </w:r>
    </w:p>
    <w:p w14:paraId="53BB5C51">
      <w:pPr>
        <w:kinsoku/>
        <w:overflowPunct/>
        <w:topLinePunct w:val="0"/>
        <w:autoSpaceDE/>
        <w:autoSpaceDN/>
        <w:bidi w:val="0"/>
        <w:spacing w:line="360" w:lineRule="auto"/>
        <w:rPr>
          <w:rFonts w:hint="eastAsia" w:ascii="宋体" w:hAnsi="宋体" w:eastAsia="宋体" w:cs="宋体"/>
          <w:sz w:val="44"/>
          <w:szCs w:val="44"/>
          <w:highlight w:val="none"/>
          <w:lang w:val="en-US" w:eastAsia="zh-CN"/>
        </w:rPr>
      </w:pPr>
    </w:p>
    <w:p w14:paraId="38143631">
      <w:pPr>
        <w:kinsoku/>
        <w:overflowPunct/>
        <w:topLinePunct w:val="0"/>
        <w:autoSpaceDE/>
        <w:autoSpaceDN/>
        <w:bidi w:val="0"/>
        <w:spacing w:line="360" w:lineRule="auto"/>
        <w:rPr>
          <w:rFonts w:hint="eastAsia" w:ascii="宋体" w:hAnsi="宋体" w:eastAsia="宋体" w:cs="宋体"/>
          <w:sz w:val="44"/>
          <w:szCs w:val="44"/>
          <w:highlight w:val="none"/>
          <w:lang w:val="en-US" w:eastAsia="zh-CN"/>
        </w:rPr>
      </w:pPr>
    </w:p>
    <w:p w14:paraId="1F347457">
      <w:pPr>
        <w:kinsoku/>
        <w:overflowPunct/>
        <w:topLinePunct w:val="0"/>
        <w:autoSpaceDE/>
        <w:autoSpaceDN/>
        <w:bidi w:val="0"/>
        <w:spacing w:line="360" w:lineRule="auto"/>
        <w:rPr>
          <w:rFonts w:hint="eastAsia" w:ascii="宋体" w:hAnsi="宋体" w:eastAsia="宋体" w:cs="宋体"/>
          <w:sz w:val="44"/>
          <w:szCs w:val="44"/>
          <w:highlight w:val="none"/>
          <w:lang w:val="en-US" w:eastAsia="zh-CN"/>
        </w:rPr>
      </w:pPr>
    </w:p>
    <w:p w14:paraId="3FFFF0FA">
      <w:pPr>
        <w:pStyle w:val="7"/>
        <w:kinsoku/>
        <w:overflowPunct/>
        <w:topLinePunct w:val="0"/>
        <w:autoSpaceDE/>
        <w:autoSpaceDN/>
        <w:bidi w:val="0"/>
        <w:spacing w:line="360" w:lineRule="auto"/>
        <w:ind w:firstLine="420" w:firstLineChars="200"/>
        <w:jc w:val="center"/>
        <w:rPr>
          <w:rFonts w:hint="eastAsia" w:ascii="宋体" w:hAnsi="宋体" w:eastAsia="宋体" w:cs="宋体"/>
          <w:b w:val="0"/>
          <w:bCs w:val="0"/>
          <w:color w:val="auto"/>
          <w:highlight w:val="none"/>
        </w:rPr>
      </w:pPr>
    </w:p>
    <w:p w14:paraId="672AD93C">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合同编号：</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p>
    <w:p w14:paraId="257D2F54">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签订地点：</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p>
    <w:p w14:paraId="36F20670">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签订时间：</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p>
    <w:p w14:paraId="501BD8F6">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rPr>
      </w:pPr>
      <w:r>
        <w:rPr>
          <w:rFonts w:hint="eastAsia" w:ascii="宋体" w:hAnsi="宋体" w:eastAsia="宋体" w:cs="宋体"/>
          <w:color w:val="000000"/>
          <w:sz w:val="28"/>
          <w:szCs w:val="28"/>
          <w:highlight w:val="none"/>
        </w:rPr>
        <w:t>采购人（甲方）：</w:t>
      </w:r>
      <w:r>
        <w:rPr>
          <w:rFonts w:hint="eastAsia" w:ascii="宋体" w:hAnsi="宋体" w:eastAsia="宋体" w:cs="宋体"/>
          <w:color w:val="000000"/>
          <w:sz w:val="28"/>
          <w:szCs w:val="28"/>
          <w:highlight w:val="none"/>
          <w:u w:val="single"/>
          <w:lang w:val="en-US" w:eastAsia="zh-CN"/>
        </w:rPr>
        <w:t xml:space="preserve">                     </w:t>
      </w:r>
      <w:r>
        <w:rPr>
          <w:rFonts w:hint="eastAsia" w:ascii="宋体" w:hAnsi="宋体" w:eastAsia="宋体" w:cs="宋体"/>
          <w:color w:val="000000"/>
          <w:sz w:val="28"/>
          <w:szCs w:val="28"/>
          <w:highlight w:val="none"/>
        </w:rPr>
        <w:t xml:space="preserve">                                 </w:t>
      </w:r>
    </w:p>
    <w:p w14:paraId="3525BE89">
      <w:pPr>
        <w:pStyle w:val="15"/>
        <w:keepNext w:val="0"/>
        <w:keepLines w:val="0"/>
        <w:pageBreakBefore w:val="0"/>
        <w:widowControl w:val="0"/>
        <w:kinsoku/>
        <w:wordWrap/>
        <w:overflowPunct/>
        <w:topLinePunct w:val="0"/>
        <w:autoSpaceDE/>
        <w:autoSpaceDN/>
        <w:bidi w:val="0"/>
        <w:adjustRightInd/>
        <w:snapToGrid/>
        <w:spacing w:line="480" w:lineRule="auto"/>
        <w:ind w:left="0" w:leftChars="0" w:firstLine="2100" w:firstLineChars="750"/>
        <w:textAlignment w:val="auto"/>
        <w:rPr>
          <w:rFonts w:hint="eastAsia" w:ascii="宋体" w:hAnsi="宋体" w:eastAsia="宋体" w:cs="宋体"/>
          <w:color w:val="000000"/>
          <w:sz w:val="28"/>
          <w:szCs w:val="28"/>
          <w:highlight w:val="none"/>
          <w:lang w:val="en-US" w:eastAsia="zh-CN"/>
        </w:rPr>
      </w:pPr>
      <w:r>
        <w:rPr>
          <w:rFonts w:hint="eastAsia" w:ascii="宋体" w:hAnsi="宋体" w:eastAsia="宋体" w:cs="宋体"/>
          <w:color w:val="000000"/>
          <w:sz w:val="28"/>
          <w:szCs w:val="28"/>
          <w:highlight w:val="none"/>
        </w:rPr>
        <w:t>供应商（乙方）：</w:t>
      </w:r>
      <w:r>
        <w:rPr>
          <w:rFonts w:hint="eastAsia" w:ascii="宋体" w:hAnsi="宋体" w:eastAsia="宋体" w:cs="宋体"/>
          <w:color w:val="000000"/>
          <w:sz w:val="28"/>
          <w:szCs w:val="28"/>
          <w:highlight w:val="none"/>
          <w:u w:val="single"/>
          <w:lang w:val="en-US" w:eastAsia="zh-CN"/>
        </w:rPr>
        <w:t xml:space="preserve">                     </w:t>
      </w:r>
    </w:p>
    <w:p w14:paraId="771FDEA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0"/>
          <w:szCs w:val="20"/>
          <w:highlight w:val="none"/>
        </w:rPr>
      </w:pPr>
      <w:r>
        <w:rPr>
          <w:rFonts w:hint="eastAsia" w:ascii="宋体" w:hAnsi="宋体" w:eastAsia="宋体" w:cs="宋体"/>
          <w:color w:val="000000"/>
          <w:sz w:val="20"/>
          <w:szCs w:val="20"/>
          <w:highlight w:val="none"/>
        </w:rPr>
        <w:t xml:space="preserve">                                 </w:t>
      </w:r>
    </w:p>
    <w:p w14:paraId="7364B3F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0"/>
          <w:szCs w:val="20"/>
          <w:highlight w:val="none"/>
        </w:rPr>
      </w:pPr>
    </w:p>
    <w:p w14:paraId="499672B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依据《中华人民共和国政府采购法》、《中华人民共和国民法典》等相关法律法规，以及</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项目（项目编号：</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的《招标文件》，乙方的《投标文件》及《成交通知书》，甲、乙双方同意签订本合同。详细技术说明及其他有关合同项目的特定信息由合同附件予以说明，合同附件及本项目的《招标文件》、《投标文件》、《</w:t>
      </w:r>
      <w:r>
        <w:rPr>
          <w:rFonts w:hint="eastAsia" w:ascii="宋体" w:hAnsi="宋体" w:cs="宋体"/>
          <w:color w:val="000000"/>
          <w:sz w:val="24"/>
          <w:szCs w:val="24"/>
          <w:highlight w:val="none"/>
          <w:lang w:val="en-US" w:eastAsia="zh-CN"/>
        </w:rPr>
        <w:t>中标</w:t>
      </w:r>
      <w:r>
        <w:rPr>
          <w:rFonts w:hint="eastAsia" w:ascii="宋体" w:hAnsi="宋体" w:eastAsia="宋体" w:cs="宋体"/>
          <w:color w:val="000000"/>
          <w:sz w:val="24"/>
          <w:szCs w:val="24"/>
          <w:highlight w:val="none"/>
        </w:rPr>
        <w:t>通知书》等均为本合同的组成部分。</w:t>
      </w:r>
    </w:p>
    <w:p w14:paraId="3E7F0FB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一、项目基本情况：</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lang w:val="en-US" w:eastAsia="zh-CN"/>
        </w:rPr>
        <w:tab/>
      </w:r>
      <w:r>
        <w:rPr>
          <w:rFonts w:hint="eastAsia" w:ascii="宋体" w:hAnsi="宋体" w:eastAsia="宋体" w:cs="宋体"/>
          <w:color w:val="000000"/>
          <w:sz w:val="24"/>
          <w:szCs w:val="24"/>
          <w:highlight w:val="none"/>
          <w:u w:val="single"/>
        </w:rPr>
        <w:t xml:space="preserve">   </w:t>
      </w:r>
    </w:p>
    <w:p w14:paraId="1D6FA28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二、合同期限：</w:t>
      </w:r>
      <w:r>
        <w:rPr>
          <w:rFonts w:hint="eastAsia" w:ascii="宋体" w:hAnsi="宋体" w:eastAsia="宋体" w:cs="宋体"/>
          <w:color w:val="000000"/>
          <w:sz w:val="24"/>
          <w:szCs w:val="24"/>
          <w:highlight w:val="none"/>
        </w:rPr>
        <w:t>服务期限为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lang w:val="en-US" w:eastAsia="zh-CN"/>
        </w:rPr>
        <w:t>日历天</w:t>
      </w:r>
      <w:r>
        <w:rPr>
          <w:rFonts w:hint="eastAsia" w:ascii="宋体" w:hAnsi="宋体" w:eastAsia="宋体" w:cs="宋体"/>
          <w:color w:val="000000"/>
          <w:sz w:val="24"/>
          <w:szCs w:val="24"/>
          <w:highlight w:val="none"/>
        </w:rPr>
        <w:t>。</w:t>
      </w:r>
    </w:p>
    <w:p w14:paraId="64F4F7F4">
      <w:pPr>
        <w:pStyle w:val="15"/>
        <w:keepNext w:val="0"/>
        <w:keepLines w:val="0"/>
        <w:pageBreakBefore w:val="0"/>
        <w:widowControl w:val="0"/>
        <w:kinsoku/>
        <w:wordWrap/>
        <w:overflowPunct/>
        <w:topLinePunct w:val="0"/>
        <w:autoSpaceDE/>
        <w:autoSpaceDN/>
        <w:bidi w:val="0"/>
        <w:adjustRightInd/>
        <w:snapToGrid/>
        <w:spacing w:line="520" w:lineRule="exact"/>
        <w:ind w:firstLine="960" w:firstLineChars="40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自</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日至</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年</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月</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日止。</w:t>
      </w:r>
    </w:p>
    <w:p w14:paraId="735CCE25">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三、服务内容与质量标准</w:t>
      </w:r>
    </w:p>
    <w:p w14:paraId="5D678F0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rPr>
        <w:t>1．</w:t>
      </w:r>
      <w:r>
        <w:rPr>
          <w:rFonts w:hint="eastAsia" w:ascii="宋体" w:hAnsi="宋体" w:eastAsia="宋体" w:cs="宋体"/>
          <w:color w:val="000000"/>
          <w:sz w:val="24"/>
          <w:szCs w:val="24"/>
          <w:highlight w:val="none"/>
          <w:lang w:val="en-US" w:eastAsia="zh-CN"/>
        </w:rPr>
        <w:t>服务内容：本项目为鄠邑区再生水综合利用（二期、三期）管网工程测绘及设计服务。工程规模和主要建设内容为：工程设计供水规模为3.25万ｍ³/d，建设再生水配水管网13.44Km，管材采用聚乙烯PE100管材，管径dn110-dn225及其配套设施。其中:二期新建长度8.56Km，敷设地点为古城西路、古城东路、北极路、人民路、东新路、友谊路、兆丰西路、西街、府兴巷、府东巷、箭门西路、箭门东路、西苑南路12条市政道路下;三期新建长度4.88Km，敷设地点为光明路、政法路、钓台路、宝苑路、吕公路、黑牛巷、朝阳路、东街8条市政道路</w:t>
      </w:r>
      <w:r>
        <w:rPr>
          <w:rFonts w:hint="eastAsia" w:ascii="宋体" w:hAnsi="宋体" w:cs="宋体"/>
          <w:color w:val="000000"/>
          <w:sz w:val="24"/>
          <w:szCs w:val="24"/>
          <w:highlight w:val="none"/>
          <w:lang w:val="en-US" w:eastAsia="zh-CN"/>
        </w:rPr>
        <w:t>。</w:t>
      </w:r>
    </w:p>
    <w:p w14:paraId="45ADBBA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s="宋体"/>
          <w:color w:val="000000"/>
          <w:sz w:val="24"/>
          <w:szCs w:val="24"/>
          <w:highlight w:val="none"/>
          <w:lang w:val="en-US" w:eastAsia="zh-CN"/>
        </w:rPr>
      </w:pPr>
      <w:r>
        <w:rPr>
          <w:rFonts w:hint="eastAsia" w:ascii="宋体" w:hAnsi="宋体" w:eastAsia="宋体" w:cs="宋体"/>
          <w:color w:val="000000"/>
          <w:sz w:val="24"/>
          <w:szCs w:val="24"/>
          <w:highlight w:val="none"/>
          <w:lang w:val="en-US" w:eastAsia="zh-CN"/>
        </w:rPr>
        <w:t>2.质量标准：</w:t>
      </w:r>
      <w:r>
        <w:rPr>
          <w:rFonts w:hint="eastAsia" w:ascii="宋体" w:hAnsi="宋体" w:eastAsia="宋体" w:cs="宋体"/>
          <w:color w:val="000000"/>
          <w:sz w:val="24"/>
          <w:szCs w:val="24"/>
          <w:highlight w:val="none"/>
          <w:u w:val="single"/>
        </w:rPr>
        <w:t xml:space="preserve"> 符合国家及地方现行验收规范“合格”标准</w:t>
      </w:r>
      <w:r>
        <w:rPr>
          <w:rFonts w:hint="eastAsia" w:ascii="宋体" w:hAnsi="宋体" w:eastAsia="宋体" w:cs="宋体"/>
          <w:color w:val="000000"/>
          <w:sz w:val="24"/>
          <w:szCs w:val="24"/>
          <w:highlight w:val="none"/>
          <w:u w:val="single"/>
          <w:lang w:eastAsia="zh-CN"/>
        </w:rPr>
        <w:t>。</w:t>
      </w:r>
      <w:r>
        <w:rPr>
          <w:rFonts w:hint="eastAsia" w:ascii="宋体" w:hAnsi="宋体" w:eastAsia="宋体" w:cs="宋体"/>
          <w:color w:val="000000"/>
          <w:sz w:val="24"/>
          <w:szCs w:val="24"/>
          <w:highlight w:val="none"/>
          <w:u w:val="single"/>
        </w:rPr>
        <w:t xml:space="preserve"> </w:t>
      </w:r>
    </w:p>
    <w:p w14:paraId="6C5E80D9">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rPr>
        <w:t>四、服务费用</w:t>
      </w:r>
      <w:r>
        <w:rPr>
          <w:rFonts w:hint="eastAsia" w:ascii="宋体" w:hAnsi="宋体" w:eastAsia="宋体" w:cs="宋体"/>
          <w:b/>
          <w:bCs/>
          <w:color w:val="000000"/>
          <w:sz w:val="24"/>
          <w:szCs w:val="24"/>
          <w:highlight w:val="none"/>
          <w:lang w:val="en-US" w:eastAsia="zh-CN"/>
        </w:rPr>
        <w:t>内容</w:t>
      </w:r>
    </w:p>
    <w:p w14:paraId="3DBFA0C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本项目服务费</w:t>
      </w:r>
      <w:r>
        <w:rPr>
          <w:rFonts w:hint="eastAsia" w:ascii="宋体" w:hAnsi="宋体" w:eastAsia="宋体" w:cs="宋体"/>
          <w:color w:val="auto"/>
          <w:sz w:val="24"/>
          <w:lang w:val="en-US" w:eastAsia="zh-CN"/>
        </w:rPr>
        <w:t>包括完成该项目所需</w:t>
      </w:r>
      <w:r>
        <w:rPr>
          <w:rFonts w:hint="eastAsia" w:ascii="宋体" w:hAnsi="宋体" w:eastAsia="宋体" w:cs="宋体"/>
          <w:color w:val="auto"/>
          <w:sz w:val="24"/>
          <w:highlight w:val="none"/>
          <w:lang w:val="en-US" w:eastAsia="zh-CN"/>
        </w:rPr>
        <w:t>的成本、利润、税金、技术措施费、风险费、保险费、政策性文件规定费用和投标人必须的其他费用等全部费用。</w:t>
      </w:r>
    </w:p>
    <w:p w14:paraId="74508DD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五、服务费支付方式：</w:t>
      </w:r>
    </w:p>
    <w:p w14:paraId="3FB0868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 本合同签订生效后，乙方在规定时间内按要求完成项目所有内容。</w:t>
      </w:r>
    </w:p>
    <w:p w14:paraId="439CEAD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 项目费用按进度支付，乙方完成全部测绘成果交付（含地形测量图）通过甲方审核后，支付至合同额的50.00% ，达到付款条件起7日内，支付合同总金额的50.00%。</w:t>
      </w:r>
    </w:p>
    <w:p w14:paraId="2E18660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cs="宋体"/>
          <w:b/>
          <w:bCs/>
          <w:color w:val="000000"/>
          <w:sz w:val="24"/>
          <w:szCs w:val="24"/>
          <w:highlight w:val="none"/>
          <w:lang w:val="en-US" w:eastAsia="zh-CN"/>
        </w:rPr>
        <w:t>3.</w:t>
      </w:r>
      <w:r>
        <w:rPr>
          <w:rFonts w:hint="eastAsia" w:ascii="宋体" w:hAnsi="宋体" w:eastAsia="宋体" w:cs="宋体"/>
          <w:b/>
          <w:bCs/>
          <w:color w:val="000000"/>
          <w:sz w:val="24"/>
          <w:szCs w:val="24"/>
          <w:highlight w:val="none"/>
        </w:rPr>
        <w:t>乙方提交全套施工图设计文件+ 设计交底完成，经甲方最终验收合格后，支付至合同额的90.00% ，达到付款条件起7日内，支付合同总金额的４0.00%。</w:t>
      </w:r>
    </w:p>
    <w:p w14:paraId="69350A0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lang w:eastAsia="zh-CN"/>
        </w:rPr>
      </w:pPr>
      <w:r>
        <w:rPr>
          <w:rFonts w:hint="eastAsia" w:ascii="宋体" w:hAnsi="宋体" w:cs="宋体"/>
          <w:b/>
          <w:bCs/>
          <w:color w:val="000000"/>
          <w:sz w:val="24"/>
          <w:szCs w:val="24"/>
          <w:highlight w:val="none"/>
          <w:lang w:val="en-US" w:eastAsia="zh-CN"/>
        </w:rPr>
        <w:t>4.</w:t>
      </w:r>
      <w:r>
        <w:rPr>
          <w:rFonts w:hint="eastAsia" w:ascii="宋体" w:hAnsi="宋体" w:eastAsia="宋体" w:cs="宋体"/>
          <w:b/>
          <w:bCs/>
          <w:color w:val="000000"/>
          <w:sz w:val="24"/>
          <w:szCs w:val="24"/>
          <w:highlight w:val="none"/>
        </w:rPr>
        <w:t>竣工验收完成后,甲方向乙方一次性付清所有费用支付至合同额的100.00% ，达到付款条件起7日内，支付合同总金额的10.00%</w:t>
      </w:r>
      <w:r>
        <w:rPr>
          <w:rFonts w:hint="eastAsia" w:ascii="宋体" w:hAnsi="宋体" w:cs="宋体"/>
          <w:b/>
          <w:bCs/>
          <w:color w:val="000000"/>
          <w:sz w:val="24"/>
          <w:szCs w:val="24"/>
          <w:highlight w:val="none"/>
          <w:lang w:eastAsia="zh-CN"/>
        </w:rPr>
        <w:t>。</w:t>
      </w:r>
    </w:p>
    <w:p w14:paraId="6A4E73B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5</w:t>
      </w:r>
      <w:r>
        <w:rPr>
          <w:rFonts w:hint="eastAsia" w:ascii="宋体" w:hAnsi="宋体" w:cs="宋体"/>
          <w:b/>
          <w:bCs/>
          <w:color w:val="000000"/>
          <w:sz w:val="24"/>
          <w:szCs w:val="24"/>
          <w:highlight w:val="none"/>
          <w:lang w:val="en-US" w:eastAsia="zh-CN"/>
        </w:rPr>
        <w:t>.</w:t>
      </w:r>
      <w:r>
        <w:rPr>
          <w:rFonts w:hint="eastAsia" w:ascii="宋体" w:hAnsi="宋体" w:eastAsia="宋体" w:cs="宋体"/>
          <w:b/>
          <w:bCs/>
          <w:color w:val="000000"/>
          <w:sz w:val="24"/>
          <w:szCs w:val="24"/>
          <w:highlight w:val="none"/>
        </w:rPr>
        <w:t xml:space="preserve"> 乙方须向甲方出具合法有效完整的</w:t>
      </w:r>
      <w:r>
        <w:rPr>
          <w:rFonts w:hint="eastAsia" w:ascii="宋体" w:hAnsi="宋体" w:eastAsia="宋体" w:cs="宋体"/>
          <w:b/>
          <w:bCs/>
          <w:color w:val="000000"/>
          <w:sz w:val="24"/>
          <w:szCs w:val="24"/>
          <w:highlight w:val="none"/>
          <w:lang w:val="en-US" w:eastAsia="zh-CN"/>
        </w:rPr>
        <w:t>增值税</w:t>
      </w:r>
      <w:r>
        <w:rPr>
          <w:rFonts w:hint="eastAsia" w:ascii="宋体" w:hAnsi="宋体" w:eastAsia="宋体" w:cs="宋体"/>
          <w:b/>
          <w:bCs/>
          <w:color w:val="000000"/>
          <w:sz w:val="24"/>
          <w:szCs w:val="24"/>
          <w:highlight w:val="none"/>
        </w:rPr>
        <w:t>发票及凭证资料进行支付结算。</w:t>
      </w:r>
    </w:p>
    <w:p w14:paraId="1921683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lang w:val="en-US" w:eastAsia="zh-CN"/>
        </w:rPr>
        <w:t>6</w:t>
      </w:r>
      <w:r>
        <w:rPr>
          <w:rFonts w:hint="eastAsia" w:ascii="宋体" w:hAnsi="宋体" w:eastAsia="宋体" w:cs="宋体"/>
          <w:b/>
          <w:bCs/>
          <w:color w:val="000000"/>
          <w:sz w:val="24"/>
          <w:szCs w:val="24"/>
          <w:highlight w:val="none"/>
        </w:rPr>
        <w:t>. 乙方须向甲方出具合法有效完整的</w:t>
      </w:r>
      <w:r>
        <w:rPr>
          <w:rFonts w:hint="eastAsia" w:ascii="宋体" w:hAnsi="宋体" w:eastAsia="宋体" w:cs="宋体"/>
          <w:b/>
          <w:bCs/>
          <w:color w:val="000000"/>
          <w:sz w:val="24"/>
          <w:szCs w:val="24"/>
          <w:highlight w:val="none"/>
          <w:lang w:val="en-US" w:eastAsia="zh-CN"/>
        </w:rPr>
        <w:t>增值税</w:t>
      </w:r>
      <w:r>
        <w:rPr>
          <w:rFonts w:hint="eastAsia" w:ascii="宋体" w:hAnsi="宋体" w:eastAsia="宋体" w:cs="宋体"/>
          <w:b/>
          <w:bCs/>
          <w:color w:val="000000"/>
          <w:sz w:val="24"/>
          <w:szCs w:val="24"/>
          <w:highlight w:val="none"/>
        </w:rPr>
        <w:t>发票及凭证资料进行支付结算。</w:t>
      </w:r>
    </w:p>
    <w:p w14:paraId="4F58707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六、下列文件为本合同的组成部分</w:t>
      </w:r>
    </w:p>
    <w:p w14:paraId="2B4ECD2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1、合同及附件（含评标和合同签订期间的澄清文件）；</w:t>
      </w:r>
    </w:p>
    <w:p w14:paraId="03710C8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2、中标通知书；</w:t>
      </w:r>
    </w:p>
    <w:p w14:paraId="19E884E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3、合同条款；</w:t>
      </w:r>
      <w:r>
        <w:rPr>
          <w:rFonts w:hint="eastAsia" w:ascii="宋体" w:hAnsi="宋体" w:eastAsia="宋体" w:cs="宋体"/>
          <w:b w:val="0"/>
          <w:bCs w:val="0"/>
          <w:color w:val="000000"/>
          <w:sz w:val="24"/>
          <w:szCs w:val="24"/>
          <w:highlight w:val="none"/>
        </w:rPr>
        <w:tab/>
      </w:r>
      <w:bookmarkStart w:id="0" w:name="_GoBack"/>
      <w:bookmarkEnd w:id="0"/>
    </w:p>
    <w:p w14:paraId="4CC236D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4、设计工作大纲；</w:t>
      </w:r>
    </w:p>
    <w:p w14:paraId="49EDB989">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5、双方协商同意的变更、纪要和协议；</w:t>
      </w:r>
    </w:p>
    <w:p w14:paraId="68D3231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6、</w:t>
      </w:r>
      <w:r>
        <w:rPr>
          <w:rFonts w:hint="eastAsia" w:ascii="宋体" w:hAnsi="宋体" w:cs="宋体"/>
          <w:b w:val="0"/>
          <w:bCs w:val="0"/>
          <w:color w:val="000000"/>
          <w:sz w:val="24"/>
          <w:szCs w:val="24"/>
          <w:highlight w:val="none"/>
          <w:lang w:val="en-US" w:eastAsia="zh-CN"/>
        </w:rPr>
        <w:t>竞争性磋商</w:t>
      </w:r>
      <w:r>
        <w:rPr>
          <w:rFonts w:hint="eastAsia" w:ascii="宋体" w:hAnsi="宋体" w:eastAsia="宋体" w:cs="宋体"/>
          <w:b w:val="0"/>
          <w:bCs w:val="0"/>
          <w:color w:val="000000"/>
          <w:sz w:val="24"/>
          <w:szCs w:val="24"/>
          <w:highlight w:val="none"/>
        </w:rPr>
        <w:t>文件</w:t>
      </w:r>
    </w:p>
    <w:p w14:paraId="4E90A0F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7、</w:t>
      </w:r>
      <w:r>
        <w:rPr>
          <w:rFonts w:hint="eastAsia" w:ascii="宋体" w:hAnsi="宋体" w:cs="宋体"/>
          <w:b w:val="0"/>
          <w:bCs w:val="0"/>
          <w:color w:val="000000"/>
          <w:sz w:val="24"/>
          <w:szCs w:val="24"/>
          <w:highlight w:val="none"/>
          <w:lang w:val="en-US" w:eastAsia="zh-CN"/>
        </w:rPr>
        <w:t>磋商响应</w:t>
      </w:r>
      <w:r>
        <w:rPr>
          <w:rFonts w:hint="eastAsia" w:ascii="宋体" w:hAnsi="宋体" w:eastAsia="宋体" w:cs="宋体"/>
          <w:b w:val="0"/>
          <w:bCs w:val="0"/>
          <w:color w:val="000000"/>
          <w:sz w:val="24"/>
          <w:szCs w:val="24"/>
          <w:highlight w:val="none"/>
        </w:rPr>
        <w:t>文件</w:t>
      </w:r>
    </w:p>
    <w:p w14:paraId="3C0544C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rPr>
      </w:pPr>
      <w:r>
        <w:rPr>
          <w:rFonts w:hint="eastAsia" w:ascii="宋体" w:hAnsi="宋体" w:eastAsia="宋体" w:cs="宋体"/>
          <w:b w:val="0"/>
          <w:bCs w:val="0"/>
          <w:color w:val="000000"/>
          <w:sz w:val="24"/>
          <w:szCs w:val="24"/>
          <w:highlight w:val="none"/>
        </w:rPr>
        <w:t>上述文件互为补充和解释，如有模棱两可或互相矛盾处，以上面所列顺序在前的为准，同一顺序的以时间在后的为准。</w:t>
      </w:r>
    </w:p>
    <w:p w14:paraId="6EF2304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七、成果文件份数</w:t>
      </w:r>
    </w:p>
    <w:p w14:paraId="5C7CE96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 xml:space="preserve">工程测绘报告一式 </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份；设计文件一式</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份；并提供相应电子版文件</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套。</w:t>
      </w:r>
    </w:p>
    <w:p w14:paraId="71AC5BD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bCs/>
          <w:color w:val="000000"/>
          <w:sz w:val="24"/>
          <w:szCs w:val="24"/>
          <w:highlight w:val="none"/>
          <w:lang w:val="en-US" w:eastAsia="zh-CN"/>
        </w:rPr>
        <w:t>八、测绘及设计周期</w:t>
      </w:r>
    </w:p>
    <w:p w14:paraId="4FD1172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本工程总测绘及设计周期为</w:t>
      </w:r>
      <w:r>
        <w:rPr>
          <w:rFonts w:hint="eastAsia" w:ascii="宋体" w:hAnsi="宋体" w:eastAsia="宋体" w:cs="宋体"/>
          <w:b w:val="0"/>
          <w:bCs w:val="0"/>
          <w:color w:val="000000"/>
          <w:sz w:val="24"/>
          <w:szCs w:val="24"/>
          <w:highlight w:val="none"/>
          <w:u w:val="single"/>
          <w:lang w:val="en-US" w:eastAsia="zh-CN"/>
        </w:rPr>
        <w:t xml:space="preserve">     </w:t>
      </w:r>
      <w:r>
        <w:rPr>
          <w:rFonts w:hint="eastAsia" w:ascii="宋体" w:hAnsi="宋体" w:eastAsia="宋体" w:cs="宋体"/>
          <w:b w:val="0"/>
          <w:bCs w:val="0"/>
          <w:color w:val="000000"/>
          <w:sz w:val="24"/>
          <w:szCs w:val="24"/>
          <w:highlight w:val="none"/>
          <w:lang w:val="en-US" w:eastAsia="zh-CN"/>
        </w:rPr>
        <w:t>个日历天，包括测绘、初步设计及施工图设计的工作周期。中标人须按下列时间分别将各阶段设计成果送达委托人要求的地点，并完成相关技术服务工作。</w:t>
      </w:r>
    </w:p>
    <w:p w14:paraId="3B3034C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default" w:ascii="宋体" w:hAnsi="宋体" w:eastAsia="宋体" w:cs="宋体"/>
          <w:b w:val="0"/>
          <w:bCs w:val="0"/>
          <w:color w:val="000000"/>
          <w:sz w:val="24"/>
          <w:szCs w:val="24"/>
          <w:highlight w:val="none"/>
          <w:u w:val="single"/>
          <w:lang w:val="en-US" w:eastAsia="zh-CN"/>
        </w:rPr>
      </w:pPr>
      <w:r>
        <w:rPr>
          <w:rFonts w:hint="eastAsia" w:ascii="宋体" w:hAnsi="宋体" w:eastAsia="宋体" w:cs="宋体"/>
          <w:b w:val="0"/>
          <w:bCs w:val="0"/>
          <w:color w:val="000000"/>
          <w:sz w:val="24"/>
          <w:szCs w:val="24"/>
          <w:highlight w:val="none"/>
          <w:lang w:val="en-US" w:eastAsia="zh-CN"/>
        </w:rPr>
        <w:t>1、测绘周期：</w:t>
      </w:r>
      <w:r>
        <w:rPr>
          <w:rFonts w:hint="eastAsia" w:ascii="宋体" w:hAnsi="宋体" w:eastAsia="宋体" w:cs="宋体"/>
          <w:b w:val="0"/>
          <w:bCs w:val="0"/>
          <w:color w:val="000000"/>
          <w:sz w:val="24"/>
          <w:szCs w:val="24"/>
          <w:highlight w:val="none"/>
          <w:u w:val="single"/>
          <w:lang w:val="en-US" w:eastAsia="zh-CN"/>
        </w:rPr>
        <w:t xml:space="preserve">                    </w:t>
      </w:r>
    </w:p>
    <w:p w14:paraId="6024D96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2、设计周期：</w:t>
      </w:r>
      <w:r>
        <w:rPr>
          <w:rFonts w:hint="eastAsia" w:ascii="宋体" w:hAnsi="宋体" w:eastAsia="宋体" w:cs="宋体"/>
          <w:b w:val="0"/>
          <w:bCs w:val="0"/>
          <w:color w:val="000000"/>
          <w:sz w:val="24"/>
          <w:szCs w:val="24"/>
          <w:highlight w:val="none"/>
          <w:u w:val="single"/>
          <w:lang w:val="en-US" w:eastAsia="zh-CN"/>
        </w:rPr>
        <w:t xml:space="preserve">                    </w:t>
      </w:r>
    </w:p>
    <w:p w14:paraId="4052484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val="0"/>
          <w:bCs w:val="0"/>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3、相关技术服务周期：</w:t>
      </w:r>
    </w:p>
    <w:p w14:paraId="590F32C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lang w:val="en-US" w:eastAsia="zh-CN"/>
        </w:rPr>
      </w:pPr>
      <w:r>
        <w:rPr>
          <w:rFonts w:hint="eastAsia" w:ascii="宋体" w:hAnsi="宋体" w:eastAsia="宋体" w:cs="宋体"/>
          <w:b w:val="0"/>
          <w:bCs w:val="0"/>
          <w:color w:val="000000"/>
          <w:sz w:val="24"/>
          <w:szCs w:val="24"/>
          <w:highlight w:val="none"/>
          <w:lang w:val="en-US" w:eastAsia="zh-CN"/>
        </w:rPr>
        <w:t>相关技术服务工作包括施工招标配合服务、施工现场配合服务及工程竣工阶段的配合服务等，直至工程施工缺陷责任期满止。</w:t>
      </w:r>
    </w:p>
    <w:p w14:paraId="4AEE28F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九、</w:t>
      </w:r>
      <w:r>
        <w:rPr>
          <w:rFonts w:hint="eastAsia" w:ascii="宋体" w:hAnsi="宋体" w:eastAsia="宋体" w:cs="宋体"/>
          <w:b/>
          <w:bCs/>
          <w:color w:val="000000"/>
          <w:sz w:val="24"/>
          <w:szCs w:val="24"/>
          <w:highlight w:val="none"/>
        </w:rPr>
        <w:t>知识产权</w:t>
      </w:r>
    </w:p>
    <w:p w14:paraId="6D856841">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乙方应保证所提供的服务或其任何一部分均不会侵犯任何第三方的知识产权。</w:t>
      </w:r>
    </w:p>
    <w:p w14:paraId="7F3808FB">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十</w:t>
      </w:r>
      <w:r>
        <w:rPr>
          <w:rFonts w:hint="eastAsia" w:ascii="宋体" w:hAnsi="宋体" w:eastAsia="宋体" w:cs="宋体"/>
          <w:b/>
          <w:bCs/>
          <w:color w:val="000000"/>
          <w:sz w:val="24"/>
          <w:szCs w:val="24"/>
          <w:highlight w:val="none"/>
        </w:rPr>
        <w:t>、无权利瑕疵担保条款</w:t>
      </w:r>
    </w:p>
    <w:p w14:paraId="565AD0F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乙方保证所提供的服务的所有权完全属于乙方且无任何抵押、查封等权利瑕疵。如有权利瑕疵的，视为乙方违约。乙方应负担由此而产生的一切损失。</w:t>
      </w:r>
    </w:p>
    <w:p w14:paraId="46E0B53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十一</w:t>
      </w:r>
      <w:r>
        <w:rPr>
          <w:rFonts w:hint="eastAsia" w:ascii="宋体" w:hAnsi="宋体" w:eastAsia="宋体" w:cs="宋体"/>
          <w:b/>
          <w:bCs/>
          <w:color w:val="000000"/>
          <w:sz w:val="24"/>
          <w:szCs w:val="24"/>
          <w:highlight w:val="none"/>
        </w:rPr>
        <w:t>、甲方的权利和义务</w:t>
      </w:r>
    </w:p>
    <w:p w14:paraId="3E76DB1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 甲方有权对合同规定范围内乙方的服务行为进行监督和检查，拥有监管权。有权定期核对乙方提供服务所配备的人员数量等。对甲方认为不合理的部分有权下达整改通知书，并要求乙方限期整改。</w:t>
      </w:r>
    </w:p>
    <w:p w14:paraId="5E7C36F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 负责检查监督乙方管理工作的实施及制度的执行情况。</w:t>
      </w:r>
    </w:p>
    <w:p w14:paraId="5784F16B">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 根据本合同规定，按时向乙方支付应付服务费用。</w:t>
      </w:r>
    </w:p>
    <w:p w14:paraId="16375A1B">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 国家法律、法规所规定由甲方承担的其它责任。</w:t>
      </w:r>
    </w:p>
    <w:p w14:paraId="720E163D">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lang w:val="en-US" w:eastAsia="zh-CN"/>
        </w:rPr>
        <w:t>十二</w:t>
      </w:r>
      <w:r>
        <w:rPr>
          <w:rFonts w:hint="eastAsia" w:ascii="宋体" w:hAnsi="宋体" w:eastAsia="宋体" w:cs="宋体"/>
          <w:b/>
          <w:bCs/>
          <w:color w:val="000000"/>
          <w:sz w:val="24"/>
          <w:szCs w:val="24"/>
          <w:highlight w:val="none"/>
        </w:rPr>
        <w:t>、乙方的权利和义务</w:t>
      </w:r>
    </w:p>
    <w:p w14:paraId="28D27F5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 对本合同规定的委托服务范围内的项目享有管理权及服务义务。</w:t>
      </w:r>
    </w:p>
    <w:p w14:paraId="12C0B51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 根据本合同的规定向甲方收取相关服务费用，并有权在本项目管理范围内管理及合理使用。</w:t>
      </w:r>
    </w:p>
    <w:p w14:paraId="1A63BF2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 及时向甲方通告本项目服务范围内有关服务的重大事项，及时配合处理投诉。</w:t>
      </w:r>
    </w:p>
    <w:p w14:paraId="07E61921">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 接受项目行业管理部门及政府有关部门的指导，接受甲方的监督。</w:t>
      </w:r>
    </w:p>
    <w:p w14:paraId="53C2834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5. 中标人承诺对上列各阶段测绘成果、设计成果质量终身负责，并提供使委托人满意的测绘及设计服务。</w:t>
      </w:r>
    </w:p>
    <w:p w14:paraId="73CB54D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6.</w:t>
      </w:r>
      <w:r>
        <w:rPr>
          <w:rFonts w:hint="eastAsia" w:ascii="宋体" w:hAnsi="宋体" w:eastAsia="宋体" w:cs="宋体"/>
          <w:color w:val="000000"/>
          <w:sz w:val="24"/>
          <w:szCs w:val="24"/>
          <w:highlight w:val="none"/>
        </w:rPr>
        <w:t>委托人所有需提供的资料已在招标时全部提供，测绘设计工作所需的其它相关资料由中标人自行负责收集,其费用已经包含在合同价款中，委托人不另行支付。</w:t>
      </w:r>
    </w:p>
    <w:p w14:paraId="46C621A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lang w:val="en-US" w:eastAsia="zh-CN"/>
        </w:rPr>
        <w:t>7.</w:t>
      </w:r>
      <w:r>
        <w:rPr>
          <w:rFonts w:hint="eastAsia" w:ascii="宋体" w:hAnsi="宋体" w:eastAsia="宋体" w:cs="宋体"/>
          <w:color w:val="000000"/>
          <w:sz w:val="24"/>
          <w:szCs w:val="24"/>
          <w:highlight w:val="none"/>
        </w:rPr>
        <w:t>国家法律、法规所规定由乙方承担的其它责任。</w:t>
      </w:r>
    </w:p>
    <w:p w14:paraId="4BE1411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三</w:t>
      </w:r>
      <w:r>
        <w:rPr>
          <w:rFonts w:hint="eastAsia" w:ascii="宋体" w:hAnsi="宋体" w:eastAsia="宋体" w:cs="宋体"/>
          <w:b/>
          <w:bCs/>
          <w:color w:val="000000"/>
          <w:sz w:val="24"/>
          <w:szCs w:val="24"/>
          <w:highlight w:val="none"/>
        </w:rPr>
        <w:t>、违约责任</w:t>
      </w:r>
    </w:p>
    <w:p w14:paraId="2BE1462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 甲乙双方必须遵守本合同并执行合同中的各项规定，保证本合同的正常履行。</w:t>
      </w:r>
    </w:p>
    <w:p w14:paraId="2E8A31C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 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55E3313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3．因一方违约导致纠纷的，违约方除承担赔偿损失的违约责任外，还需负担守约方为维护合同权益所支出的包括但不限于诉讼费、律师费、交通费、鉴定费等维权费用。</w:t>
      </w:r>
    </w:p>
    <w:p w14:paraId="77730B3F">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四</w:t>
      </w:r>
      <w:r>
        <w:rPr>
          <w:rFonts w:hint="eastAsia" w:ascii="宋体" w:hAnsi="宋体" w:eastAsia="宋体" w:cs="宋体"/>
          <w:b/>
          <w:bCs/>
          <w:color w:val="000000"/>
          <w:sz w:val="24"/>
          <w:szCs w:val="24"/>
          <w:highlight w:val="none"/>
        </w:rPr>
        <w:t>、不可抗力事件处理</w:t>
      </w:r>
    </w:p>
    <w:p w14:paraId="335E70E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 在合同有效期内，任何一方因不可抗力事件导致不能履行合同，则合同履行期可延长，其延长期与不可抗力影响期相同。</w:t>
      </w:r>
    </w:p>
    <w:p w14:paraId="194A212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 不可抗力事件发生后，应立即通知对方，并寄送有关权威机构出具的证明。</w:t>
      </w:r>
    </w:p>
    <w:p w14:paraId="6892BE8B">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3. 不可抗力事件延续</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天以上，双方应通过友好协商，确定是否继续履行合同。</w:t>
      </w:r>
    </w:p>
    <w:p w14:paraId="55F61A59">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五</w:t>
      </w:r>
      <w:r>
        <w:rPr>
          <w:rFonts w:hint="eastAsia" w:ascii="宋体" w:hAnsi="宋体" w:eastAsia="宋体" w:cs="宋体"/>
          <w:b/>
          <w:bCs/>
          <w:color w:val="000000"/>
          <w:sz w:val="24"/>
          <w:szCs w:val="24"/>
          <w:highlight w:val="none"/>
        </w:rPr>
        <w:t>、合同纠纷的解决方式</w:t>
      </w:r>
    </w:p>
    <w:p w14:paraId="12A5E61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1、合同一经签订，不得随意变更、中止或终止。对确需变更、调整或者中止、终</w:t>
      </w:r>
    </w:p>
    <w:p w14:paraId="34018177">
      <w:pPr>
        <w:pStyle w:val="15"/>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止合同的，应按规定履行相应的手续。</w:t>
      </w:r>
    </w:p>
    <w:p w14:paraId="39F156E5">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2、合同执行中发生争议的，甲、乙双方应协商解决，协商达不成一致时，可向甲</w:t>
      </w:r>
    </w:p>
    <w:p w14:paraId="264BB8EB">
      <w:pPr>
        <w:pStyle w:val="15"/>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方所在地人民法院提请诉讼。 </w:t>
      </w:r>
    </w:p>
    <w:p w14:paraId="52EC5C73">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十</w:t>
      </w:r>
      <w:r>
        <w:rPr>
          <w:rFonts w:hint="eastAsia" w:ascii="宋体" w:hAnsi="宋体" w:eastAsia="宋体" w:cs="宋体"/>
          <w:b/>
          <w:bCs/>
          <w:color w:val="000000"/>
          <w:sz w:val="24"/>
          <w:szCs w:val="24"/>
          <w:highlight w:val="none"/>
          <w:lang w:val="en-US" w:eastAsia="zh-CN"/>
        </w:rPr>
        <w:t>六</w:t>
      </w:r>
      <w:r>
        <w:rPr>
          <w:rFonts w:hint="eastAsia" w:ascii="宋体" w:hAnsi="宋体" w:eastAsia="宋体" w:cs="宋体"/>
          <w:b/>
          <w:bCs/>
          <w:color w:val="000000"/>
          <w:sz w:val="24"/>
          <w:szCs w:val="24"/>
          <w:highlight w:val="none"/>
        </w:rPr>
        <w:t>、合同生效及其他</w:t>
      </w:r>
    </w:p>
    <w:p w14:paraId="30A30CA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1. 合同经双方法定代表人或授权委托代理人签字并加盖单位公章后生效。</w:t>
      </w:r>
    </w:p>
    <w:p w14:paraId="2BF79F68">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2. 双方约定以下地址及联系方式为本合同履行及纠纷解决时的送达信息：</w:t>
      </w:r>
    </w:p>
    <w:p w14:paraId="662DD33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甲方：</w:t>
      </w:r>
    </w:p>
    <w:p w14:paraId="57EF85A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联系地址：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7F7B4BC0">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3D741CF7">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357C415A">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p>
    <w:p w14:paraId="17FA0E7E">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乙方：</w:t>
      </w:r>
    </w:p>
    <w:p w14:paraId="6BE790AC">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联系地址：</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659B4CD4">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联系人：</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 xml:space="preserve">，   </w:t>
      </w:r>
    </w:p>
    <w:p w14:paraId="03960C66">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联系电话：</w:t>
      </w:r>
      <w:r>
        <w:rPr>
          <w:rFonts w:hint="eastAsia" w:ascii="宋体" w:hAnsi="宋体" w:eastAsia="宋体" w:cs="宋体"/>
          <w:color w:val="000000"/>
          <w:sz w:val="24"/>
          <w:szCs w:val="24"/>
          <w:highlight w:val="none"/>
          <w:u w:val="single"/>
        </w:rPr>
        <w:t xml:space="preserve">              </w:t>
      </w:r>
      <w:r>
        <w:rPr>
          <w:rFonts w:hint="eastAsia" w:ascii="宋体" w:hAnsi="宋体" w:eastAsia="宋体" w:cs="宋体"/>
          <w:color w:val="000000"/>
          <w:sz w:val="24"/>
          <w:szCs w:val="24"/>
          <w:highlight w:val="none"/>
        </w:rPr>
        <w:t>。</w:t>
      </w:r>
    </w:p>
    <w:p w14:paraId="39C43905">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任何一方上述送达信息有变更的，应在变更之日起</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日内书面通知对方。送达信息变更未通知的，仍以本合同约定信息为准。因联系人拒收或送达信息有误及送达信息变更未通知导致相关文件未能实际送达的，相关文件退回之日视为送达之日。</w:t>
      </w:r>
    </w:p>
    <w:p w14:paraId="2828BD62">
      <w:pPr>
        <w:pStyle w:val="15"/>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4.本合同一式</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份，甲方、乙方、政府采购管理部门各</w:t>
      </w:r>
      <w:r>
        <w:rPr>
          <w:rFonts w:hint="eastAsia" w:ascii="宋体" w:hAnsi="宋体" w:eastAsia="宋体" w:cs="宋体"/>
          <w:color w:val="000000"/>
          <w:sz w:val="24"/>
          <w:szCs w:val="24"/>
          <w:highlight w:val="none"/>
          <w:u w:val="single"/>
          <w:lang w:val="en-US" w:eastAsia="zh-CN"/>
        </w:rPr>
        <w:t xml:space="preserve">    </w:t>
      </w:r>
      <w:r>
        <w:rPr>
          <w:rFonts w:hint="eastAsia" w:ascii="宋体" w:hAnsi="宋体" w:eastAsia="宋体" w:cs="宋体"/>
          <w:color w:val="000000"/>
          <w:sz w:val="24"/>
          <w:szCs w:val="24"/>
          <w:highlight w:val="none"/>
        </w:rPr>
        <w:t>份，具同等法律效力。</w:t>
      </w:r>
    </w:p>
    <w:p w14:paraId="6465207E">
      <w:pPr>
        <w:pStyle w:val="15"/>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highlight w:val="none"/>
        </w:rPr>
      </w:pPr>
    </w:p>
    <w:p w14:paraId="1DA5C351">
      <w:pPr>
        <w:pStyle w:val="15"/>
        <w:pageBreakBefore w:val="0"/>
        <w:kinsoku/>
        <w:wordWrap/>
        <w:overflowPunct/>
        <w:topLinePunct w:val="0"/>
        <w:autoSpaceDE/>
        <w:autoSpaceDN/>
        <w:bidi w:val="0"/>
        <w:snapToGrid/>
        <w:spacing w:line="360" w:lineRule="auto"/>
        <w:rPr>
          <w:rFonts w:hint="eastAsia" w:ascii="宋体" w:hAnsi="宋体" w:eastAsia="宋体" w:cs="宋体"/>
          <w:color w:val="000000"/>
          <w:sz w:val="24"/>
          <w:szCs w:val="24"/>
          <w:highlight w:val="none"/>
        </w:rPr>
      </w:pPr>
      <w:r>
        <w:rPr>
          <w:rFonts w:hint="eastAsia" w:ascii="宋体" w:hAnsi="宋体" w:eastAsia="宋体" w:cs="宋体"/>
          <w:color w:val="000000"/>
          <w:sz w:val="24"/>
          <w:szCs w:val="24"/>
          <w:highlight w:val="none"/>
        </w:rPr>
        <w:t xml:space="preserve"> </w:t>
      </w:r>
    </w:p>
    <w:tbl>
      <w:tblPr>
        <w:tblStyle w:val="11"/>
        <w:tblW w:w="9519"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759"/>
        <w:gridCol w:w="4760"/>
      </w:tblGrid>
      <w:tr w14:paraId="493D04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1C8D94AD">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 xml:space="preserve">甲方：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（盖章） </w:t>
            </w:r>
          </w:p>
        </w:tc>
        <w:tc>
          <w:tcPr>
            <w:tcW w:w="4760" w:type="dxa"/>
            <w:vAlign w:val="top"/>
          </w:tcPr>
          <w:p w14:paraId="334CC05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lang w:val="en-US" w:eastAsia="zh-CN"/>
              </w:rPr>
              <w:t>乙</w:t>
            </w:r>
            <w:r>
              <w:rPr>
                <w:rFonts w:hint="eastAsia" w:ascii="宋体" w:hAnsi="宋体" w:eastAsia="宋体" w:cs="宋体"/>
                <w:color w:val="000000"/>
                <w:sz w:val="24"/>
                <w:szCs w:val="24"/>
                <w:highlight w:val="none"/>
              </w:rPr>
              <w:t xml:space="preserve">方：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（盖章） </w:t>
            </w:r>
          </w:p>
        </w:tc>
      </w:tr>
      <w:tr w14:paraId="4CBD7E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4183054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法定代表人（委托代理人）：</w:t>
            </w:r>
          </w:p>
        </w:tc>
        <w:tc>
          <w:tcPr>
            <w:tcW w:w="4760" w:type="dxa"/>
            <w:vAlign w:val="top"/>
          </w:tcPr>
          <w:p w14:paraId="79BFA51A">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法定代表人（委托代理人）：</w:t>
            </w:r>
          </w:p>
        </w:tc>
      </w:tr>
      <w:tr w14:paraId="051766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2421680E">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地    址：</w:t>
            </w:r>
          </w:p>
        </w:tc>
        <w:tc>
          <w:tcPr>
            <w:tcW w:w="4760" w:type="dxa"/>
            <w:vAlign w:val="top"/>
          </w:tcPr>
          <w:p w14:paraId="6212CB5F">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地    址：</w:t>
            </w:r>
          </w:p>
        </w:tc>
      </w:tr>
      <w:tr w14:paraId="7CD7F8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25947C5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开户银行：</w:t>
            </w:r>
          </w:p>
        </w:tc>
        <w:tc>
          <w:tcPr>
            <w:tcW w:w="4760" w:type="dxa"/>
            <w:vAlign w:val="top"/>
          </w:tcPr>
          <w:p w14:paraId="5445118F">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开户银行：</w:t>
            </w:r>
          </w:p>
        </w:tc>
      </w:tr>
      <w:tr w14:paraId="147CA6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0E7EFD6D">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账</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号：</w:t>
            </w:r>
          </w:p>
        </w:tc>
        <w:tc>
          <w:tcPr>
            <w:tcW w:w="4760" w:type="dxa"/>
            <w:vAlign w:val="top"/>
          </w:tcPr>
          <w:p w14:paraId="0872DFC8">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账</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号：</w:t>
            </w:r>
          </w:p>
        </w:tc>
      </w:tr>
      <w:tr w14:paraId="1A3634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603669F8">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电    话：</w:t>
            </w:r>
          </w:p>
        </w:tc>
        <w:tc>
          <w:tcPr>
            <w:tcW w:w="4760" w:type="dxa"/>
            <w:vAlign w:val="top"/>
          </w:tcPr>
          <w:p w14:paraId="3D0C3A74">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电    话：</w:t>
            </w:r>
          </w:p>
        </w:tc>
      </w:tr>
      <w:tr w14:paraId="272469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375E3FFE">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传    真：</w:t>
            </w:r>
          </w:p>
        </w:tc>
        <w:tc>
          <w:tcPr>
            <w:tcW w:w="4760" w:type="dxa"/>
            <w:vAlign w:val="top"/>
          </w:tcPr>
          <w:p w14:paraId="580030C3">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传    真：</w:t>
            </w:r>
          </w:p>
        </w:tc>
      </w:tr>
      <w:tr w14:paraId="278809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58" w:hRule="atLeast"/>
        </w:trPr>
        <w:tc>
          <w:tcPr>
            <w:tcW w:w="4759" w:type="dxa"/>
          </w:tcPr>
          <w:p w14:paraId="6843375A">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 xml:space="preserve">签约日期：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年  月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日 </w:t>
            </w:r>
          </w:p>
        </w:tc>
        <w:tc>
          <w:tcPr>
            <w:tcW w:w="4760" w:type="dxa"/>
            <w:vAlign w:val="top"/>
          </w:tcPr>
          <w:p w14:paraId="5E5144CF">
            <w:pPr>
              <w:pageBreakBefore w:val="0"/>
              <w:widowControl/>
              <w:kinsoku/>
              <w:wordWrap/>
              <w:overflowPunct/>
              <w:topLinePunct w:val="0"/>
              <w:autoSpaceDE/>
              <w:autoSpaceDN/>
              <w:bidi w:val="0"/>
              <w:snapToGrid/>
              <w:spacing w:line="360" w:lineRule="auto"/>
              <w:jc w:val="left"/>
              <w:rPr>
                <w:rFonts w:hint="eastAsia" w:ascii="宋体" w:hAnsi="宋体" w:eastAsia="宋体" w:cs="宋体"/>
                <w:b w:val="0"/>
                <w:bCs w:val="0"/>
                <w:color w:val="auto"/>
                <w:kern w:val="0"/>
                <w:sz w:val="24"/>
                <w:szCs w:val="24"/>
                <w:highlight w:val="none"/>
                <w:u w:val="single"/>
                <w:vertAlign w:val="baseline"/>
              </w:rPr>
            </w:pPr>
            <w:r>
              <w:rPr>
                <w:rFonts w:hint="eastAsia" w:ascii="宋体" w:hAnsi="宋体" w:eastAsia="宋体" w:cs="宋体"/>
                <w:color w:val="000000"/>
                <w:sz w:val="24"/>
                <w:szCs w:val="24"/>
                <w:highlight w:val="none"/>
              </w:rPr>
              <w:t xml:space="preserve">签约日期：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年  月 </w:t>
            </w:r>
            <w:r>
              <w:rPr>
                <w:rFonts w:hint="eastAsia" w:ascii="宋体" w:hAnsi="宋体" w:eastAsia="宋体" w:cs="宋体"/>
                <w:color w:val="000000"/>
                <w:sz w:val="24"/>
                <w:szCs w:val="24"/>
                <w:highlight w:val="none"/>
                <w:lang w:val="en-US" w:eastAsia="zh-CN"/>
              </w:rPr>
              <w:t xml:space="preserve"> </w:t>
            </w:r>
            <w:r>
              <w:rPr>
                <w:rFonts w:hint="eastAsia" w:ascii="宋体" w:hAnsi="宋体" w:eastAsia="宋体" w:cs="宋体"/>
                <w:color w:val="000000"/>
                <w:sz w:val="24"/>
                <w:szCs w:val="24"/>
                <w:highlight w:val="none"/>
              </w:rPr>
              <w:t xml:space="preserve"> 日 </w:t>
            </w:r>
          </w:p>
        </w:tc>
      </w:tr>
    </w:tbl>
    <w:p w14:paraId="016EBB2E">
      <w:pPr>
        <w:keepNext w:val="0"/>
        <w:keepLines w:val="0"/>
        <w:pageBreakBefore w:val="0"/>
        <w:kinsoku/>
        <w:wordWrap/>
        <w:overflowPunct/>
        <w:topLinePunct w:val="0"/>
        <w:autoSpaceDE/>
        <w:autoSpaceDN/>
        <w:bidi w:val="0"/>
        <w:adjustRightInd/>
        <w:snapToGrid/>
        <w:spacing w:line="360" w:lineRule="auto"/>
        <w:ind w:firstLine="0"/>
        <w:textAlignment w:val="auto"/>
        <w:rPr>
          <w:rFonts w:hint="eastAsia" w:ascii="宋体" w:hAnsi="宋体" w:eastAsia="宋体" w:cs="宋体"/>
          <w:highlight w:val="none"/>
        </w:rPr>
      </w:pPr>
    </w:p>
    <w:sectPr>
      <w:pgSz w:w="11906" w:h="16838"/>
      <w:pgMar w:top="1440" w:right="1440" w:bottom="1440" w:left="144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DE591D"/>
    <w:rsid w:val="02212E80"/>
    <w:rsid w:val="02951D9B"/>
    <w:rsid w:val="059D5548"/>
    <w:rsid w:val="10506A01"/>
    <w:rsid w:val="11496C09"/>
    <w:rsid w:val="13DE591D"/>
    <w:rsid w:val="14575D7C"/>
    <w:rsid w:val="179C033F"/>
    <w:rsid w:val="17C142A0"/>
    <w:rsid w:val="19E35721"/>
    <w:rsid w:val="19F65454"/>
    <w:rsid w:val="1B944F25"/>
    <w:rsid w:val="1DEA1774"/>
    <w:rsid w:val="212117DC"/>
    <w:rsid w:val="2A4B5348"/>
    <w:rsid w:val="2B6C7ACB"/>
    <w:rsid w:val="2E586286"/>
    <w:rsid w:val="32543208"/>
    <w:rsid w:val="33272CFD"/>
    <w:rsid w:val="393D67A4"/>
    <w:rsid w:val="3D216AD8"/>
    <w:rsid w:val="3F6902F3"/>
    <w:rsid w:val="469D6AD4"/>
    <w:rsid w:val="4B4B11F4"/>
    <w:rsid w:val="4C856040"/>
    <w:rsid w:val="4CDD7C2A"/>
    <w:rsid w:val="515C2DD9"/>
    <w:rsid w:val="52397FF8"/>
    <w:rsid w:val="54EA5AC7"/>
    <w:rsid w:val="552F1D1C"/>
    <w:rsid w:val="573719B1"/>
    <w:rsid w:val="582D0A15"/>
    <w:rsid w:val="588B70D4"/>
    <w:rsid w:val="58F06F37"/>
    <w:rsid w:val="5E84084D"/>
    <w:rsid w:val="5F16521D"/>
    <w:rsid w:val="62143C96"/>
    <w:rsid w:val="62D82F16"/>
    <w:rsid w:val="64A0476D"/>
    <w:rsid w:val="6AD06BC8"/>
    <w:rsid w:val="6C3006AF"/>
    <w:rsid w:val="6FE16E39"/>
    <w:rsid w:val="716D33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2"/>
    <w:basedOn w:val="1"/>
    <w:next w:val="3"/>
    <w:qFormat/>
    <w:uiPriority w:val="0"/>
    <w:pPr>
      <w:keepNext/>
      <w:keepLines/>
      <w:spacing w:before="260" w:after="260" w:line="500" w:lineRule="exact"/>
      <w:outlineLvl w:val="1"/>
    </w:pPr>
    <w:rPr>
      <w:rFonts w:ascii="Arial" w:hAnsi="Arial" w:eastAsia="黑体"/>
      <w:b/>
      <w:sz w:val="28"/>
      <w:szCs w:val="20"/>
    </w:rPr>
  </w:style>
  <w:style w:type="paragraph" w:styleId="4">
    <w:name w:val="heading 3"/>
    <w:next w:val="1"/>
    <w:qFormat/>
    <w:uiPriority w:val="0"/>
    <w:pPr>
      <w:spacing w:before="300" w:after="120" w:line="288" w:lineRule="auto"/>
      <w:ind w:left="0"/>
      <w:jc w:val="left"/>
      <w:outlineLvl w:val="2"/>
    </w:pPr>
    <w:rPr>
      <w:rFonts w:ascii="Arial" w:hAnsi="Arial" w:eastAsia="等线" w:cs="Arial"/>
      <w:b/>
      <w:bCs/>
      <w:sz w:val="30"/>
      <w:szCs w:val="30"/>
    </w:rPr>
  </w:style>
  <w:style w:type="paragraph" w:styleId="5">
    <w:name w:val="heading 4"/>
    <w:next w:val="1"/>
    <w:qFormat/>
    <w:uiPriority w:val="0"/>
    <w:pPr>
      <w:spacing w:before="260" w:after="120" w:line="288" w:lineRule="auto"/>
      <w:ind w:left="0"/>
      <w:jc w:val="left"/>
      <w:outlineLvl w:val="3"/>
    </w:pPr>
    <w:rPr>
      <w:rFonts w:ascii="Arial" w:hAnsi="Arial" w:eastAsia="等线" w:cs="Arial"/>
      <w:b/>
      <w:bCs/>
      <w:sz w:val="28"/>
      <w:szCs w:val="28"/>
    </w:rPr>
  </w:style>
  <w:style w:type="character" w:default="1" w:styleId="12">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pPr>
    <w:rPr>
      <w:szCs w:val="20"/>
    </w:rPr>
  </w:style>
  <w:style w:type="paragraph" w:styleId="6">
    <w:name w:val="Body Text"/>
    <w:basedOn w:val="1"/>
    <w:next w:val="1"/>
    <w:qFormat/>
    <w:uiPriority w:val="0"/>
    <w:rPr>
      <w:color w:val="993300"/>
      <w:sz w:val="24"/>
    </w:rPr>
  </w:style>
  <w:style w:type="paragraph" w:styleId="7">
    <w:name w:val="Plain Text"/>
    <w:basedOn w:val="1"/>
    <w:qFormat/>
    <w:uiPriority w:val="0"/>
    <w:rPr>
      <w:rFonts w:ascii="宋体" w:hAnsi="Courier New" w:cs="Courier New"/>
      <w:szCs w:val="21"/>
    </w:rPr>
  </w:style>
  <w:style w:type="paragraph" w:styleId="8">
    <w:name w:val="footer"/>
    <w:basedOn w:val="1"/>
    <w:next w:val="1"/>
    <w:qFormat/>
    <w:uiPriority w:val="0"/>
    <w:pPr>
      <w:tabs>
        <w:tab w:val="center" w:pos="4153"/>
        <w:tab w:val="right" w:pos="8306"/>
      </w:tabs>
      <w:snapToGrid w:val="0"/>
      <w:jc w:val="left"/>
    </w:pPr>
    <w:rPr>
      <w:sz w:val="18"/>
      <w:szCs w:val="18"/>
    </w:rPr>
  </w:style>
  <w:style w:type="paragraph" w:styleId="9">
    <w:name w:val="Title"/>
    <w:qFormat/>
    <w:uiPriority w:val="0"/>
    <w:pPr>
      <w:spacing w:before="480" w:after="480" w:line="288" w:lineRule="auto"/>
      <w:ind w:left="0"/>
    </w:pPr>
    <w:rPr>
      <w:rFonts w:ascii="Arial" w:hAnsi="Arial" w:eastAsia="等线" w:cs="Arial"/>
      <w:b/>
      <w:bCs/>
      <w:sz w:val="52"/>
      <w:szCs w:val="52"/>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Body Text 21"/>
    <w:basedOn w:val="1"/>
    <w:next w:val="1"/>
    <w:qFormat/>
    <w:uiPriority w:val="0"/>
    <w:pPr>
      <w:widowControl/>
      <w:spacing w:after="120" w:line="480" w:lineRule="auto"/>
    </w:pPr>
    <w:rPr>
      <w:rFonts w:ascii="Times New Roman" w:hAnsi="Times New Roman"/>
    </w:rPr>
  </w:style>
  <w:style w:type="paragraph" w:customStyle="1" w:styleId="14">
    <w:name w:val="样式 首行缩进:  2 字符"/>
    <w:basedOn w:val="1"/>
    <w:qFormat/>
    <w:uiPriority w:val="0"/>
    <w:pPr>
      <w:spacing w:line="400" w:lineRule="exact"/>
      <w:ind w:firstLine="200" w:firstLineChars="200"/>
    </w:pPr>
    <w:rPr>
      <w:rFonts w:cs="宋体"/>
      <w:sz w:val="24"/>
    </w:rPr>
  </w:style>
  <w:style w:type="paragraph" w:styleId="15">
    <w:name w:val="List Paragraph"/>
    <w:basedOn w:val="1"/>
    <w:qFormat/>
    <w:uiPriority w:val="0"/>
    <w:pPr>
      <w:ind w:firstLine="420" w:firstLineChars="200"/>
    </w:pPr>
    <w:rPr>
      <w:sz w:val="18"/>
      <w:szCs w:val="18"/>
    </w:rPr>
  </w:style>
  <w:style w:type="paragraph" w:customStyle="1" w:styleId="16">
    <w:name w:val="_Style 13"/>
    <w:qFormat/>
    <w:uiPriority w:val="0"/>
    <w:pPr>
      <w:spacing w:before="120" w:after="120" w:line="288" w:lineRule="auto"/>
      <w:ind w:left="0"/>
      <w:jc w:val="left"/>
    </w:pPr>
    <w:rPr>
      <w:rFonts w:ascii="Arial" w:hAnsi="Arial" w:eastAsia="等线" w:cs="Arial"/>
      <w:sz w:val="22"/>
      <w:szCs w:val="22"/>
    </w:rPr>
  </w:style>
  <w:style w:type="paragraph" w:customStyle="1" w:styleId="17">
    <w:name w:val="_Style 14"/>
    <w:qFormat/>
    <w:uiPriority w:val="0"/>
    <w:pPr>
      <w:spacing w:before="120" w:after="120" w:line="288" w:lineRule="auto"/>
      <w:ind w:left="0"/>
      <w:jc w:val="left"/>
    </w:pPr>
    <w:rPr>
      <w:rFonts w:ascii="Arial" w:hAnsi="Arial" w:eastAsia="等线" w:cs="Arial"/>
      <w:color w:val="8F959E"/>
      <w:sz w:val="22"/>
      <w:szCs w:val="22"/>
    </w:rPr>
  </w:style>
  <w:style w:type="paragraph" w:customStyle="1" w:styleId="18">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潮州市直及下属单位</Company>
  <Pages>6</Pages>
  <Words>2656</Words>
  <Characters>2746</Characters>
  <Lines>0</Lines>
  <Paragraphs>0</Paragraphs>
  <TotalTime>1</TotalTime>
  <ScaleCrop>false</ScaleCrop>
  <LinksUpToDate>false</LinksUpToDate>
  <CharactersWithSpaces>3490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2025-09-28T11:20:00Z</dcterms:created>
  <dc:creator>나무</dc:creator>
  <cp:lastModifiedBy>安好。</cp:lastModifiedBy>
  <dcterms:modified xsi:type="dcterms:W3CDTF">2026-02-05T08:11:17Z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44CE30AC8AAB44AF8B60B7446F929448_11</vt:lpwstr>
  </property>
  <property fmtid="{D5CDD505-2E9C-101B-9397-08002B2CF9AE}" pid="4" name="KSOTemplateDocerSaveRecord">
    <vt:lpwstr>eyJoZGlkIjoiMGRiMDY0MzVlZWVjY2YxNzE4MWI5ZGY5NThlNDUxODMiLCJ1c2VySWQiOiIyNzE3ODI4MjUifQ==</vt:lpwstr>
  </property>
</Properties>
</file>